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2ECDFC56"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#11</w:t>
      </w:r>
      <w:r w:rsidR="00850CBF">
        <w:rPr>
          <w:b/>
          <w:noProof/>
          <w:sz w:val="24"/>
          <w:lang w:val="en-US"/>
        </w:rPr>
        <w:t>9</w:t>
      </w:r>
      <w:r w:rsidR="005F7843">
        <w:rPr>
          <w:b/>
          <w:noProof/>
          <w:sz w:val="24"/>
          <w:lang w:val="en-US"/>
        </w:rPr>
        <w:t>bis</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w:t>
      </w:r>
      <w:r w:rsidR="00850CBF">
        <w:rPr>
          <w:b/>
          <w:noProof/>
          <w:sz w:val="24"/>
          <w:lang w:val="en-US"/>
        </w:rPr>
        <w:t>2</w:t>
      </w:r>
      <w:r w:rsidRPr="000C416C">
        <w:rPr>
          <w:b/>
          <w:noProof/>
          <w:sz w:val="24"/>
          <w:lang w:val="en-US"/>
        </w:rPr>
        <w:t>-2</w:t>
      </w:r>
      <w:r w:rsidR="00860820">
        <w:rPr>
          <w:b/>
          <w:noProof/>
          <w:sz w:val="24"/>
          <w:lang w:val="en-US"/>
        </w:rPr>
        <w:t>2</w:t>
      </w:r>
      <w:r w:rsidR="003E4C28">
        <w:rPr>
          <w:b/>
          <w:noProof/>
          <w:sz w:val="24"/>
          <w:lang w:val="en-US"/>
        </w:rPr>
        <w:t>09704</w:t>
      </w:r>
    </w:p>
    <w:p w14:paraId="351CA33D" w14:textId="05740878"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5F7843">
        <w:rPr>
          <w:rFonts w:ascii="Arial" w:eastAsia="MS Mincho" w:hAnsi="Arial"/>
          <w:b/>
          <w:noProof/>
          <w:sz w:val="24"/>
        </w:rPr>
        <w:t>October 10</w:t>
      </w:r>
      <w:r w:rsidR="000C416C">
        <w:rPr>
          <w:rFonts w:ascii="Arial" w:eastAsia="MS Mincho" w:hAnsi="Arial"/>
          <w:b/>
          <w:noProof/>
          <w:sz w:val="24"/>
        </w:rPr>
        <w:t xml:space="preserve"> – </w:t>
      </w:r>
      <w:r w:rsidR="005F7843">
        <w:rPr>
          <w:rFonts w:ascii="Arial" w:eastAsia="MS Mincho" w:hAnsi="Arial"/>
          <w:b/>
          <w:noProof/>
          <w:sz w:val="24"/>
        </w:rPr>
        <w:t>19</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239E5AE"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850CBF">
        <w:rPr>
          <w:sz w:val="24"/>
          <w:lang w:val="pt-PT"/>
        </w:rPr>
        <w:t>8</w:t>
      </w:r>
      <w:r w:rsidR="008460EF">
        <w:rPr>
          <w:sz w:val="24"/>
          <w:lang w:val="pt-PT"/>
        </w:rPr>
        <w:t>.</w:t>
      </w:r>
      <w:r w:rsidR="00850CBF">
        <w:rPr>
          <w:sz w:val="24"/>
          <w:lang w:val="pt-PT"/>
        </w:rPr>
        <w:t>12.</w:t>
      </w:r>
      <w:r w:rsidR="004B055B">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1D0EED6"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4B055B">
        <w:rPr>
          <w:rFonts w:ascii="Arial" w:hAnsi="Arial"/>
          <w:sz w:val="24"/>
        </w:rPr>
        <w:t>Other topics related to mobile IAB</w:t>
      </w:r>
      <w:r w:rsidR="00850CBF">
        <w:rPr>
          <w:rFonts w:ascii="Arial" w:hAnsi="Arial"/>
          <w:sz w:val="24"/>
        </w:rPr>
        <w:t xml:space="preserve"> </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05E8E311" w:rsidR="00B65E42" w:rsidRDefault="00BF49E1" w:rsidP="006600CD">
      <w:pPr>
        <w:spacing w:after="0"/>
      </w:pPr>
      <w:r>
        <w:t>In the last meeting, RAN2 achieved the following agreements</w:t>
      </w:r>
      <w:r w:rsidR="00D80F5E">
        <w:t xml:space="preserve">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5A624980" w14:textId="77777777" w:rsidR="00BF49E1" w:rsidRPr="00BF49E1" w:rsidRDefault="00BF49E1" w:rsidP="00BF49E1">
            <w:pPr>
              <w:pStyle w:val="Agreement"/>
              <w:tabs>
                <w:tab w:val="num" w:pos="1619"/>
              </w:tabs>
              <w:ind w:left="360"/>
              <w:rPr>
                <w:b w:val="0"/>
                <w:bCs/>
                <w:sz w:val="18"/>
                <w:szCs w:val="22"/>
              </w:rPr>
            </w:pPr>
            <w:r w:rsidRPr="00BF49E1">
              <w:rPr>
                <w:b w:val="0"/>
                <w:bCs/>
                <w:sz w:val="18"/>
                <w:szCs w:val="22"/>
              </w:rPr>
              <w:t>The method of not broadcasting “</w:t>
            </w:r>
            <w:proofErr w:type="spellStart"/>
            <w:r w:rsidRPr="00BF49E1">
              <w:rPr>
                <w:b w:val="0"/>
                <w:bCs/>
                <w:sz w:val="18"/>
                <w:szCs w:val="22"/>
              </w:rPr>
              <w:t>iab</w:t>
            </w:r>
            <w:proofErr w:type="spellEnd"/>
            <w:r w:rsidRPr="00BF49E1">
              <w:rPr>
                <w:b w:val="0"/>
                <w:bCs/>
                <w:sz w:val="18"/>
                <w:szCs w:val="22"/>
              </w:rPr>
              <w:t>-Support” indication, is sufficient to prevent other IAB-node from accessing mobile IAB (without further spec impact).</w:t>
            </w:r>
          </w:p>
          <w:p w14:paraId="07AA9EA7" w14:textId="77777777" w:rsidR="00BF49E1" w:rsidRPr="00BF49E1" w:rsidRDefault="00BF49E1" w:rsidP="00BF49E1">
            <w:pPr>
              <w:pStyle w:val="Agreement"/>
              <w:tabs>
                <w:tab w:val="num" w:pos="1619"/>
              </w:tabs>
              <w:ind w:left="360"/>
              <w:rPr>
                <w:b w:val="0"/>
                <w:bCs/>
                <w:sz w:val="18"/>
                <w:szCs w:val="22"/>
              </w:rPr>
            </w:pPr>
            <w:r w:rsidRPr="00BF49E1">
              <w:rPr>
                <w:b w:val="0"/>
                <w:bCs/>
                <w:sz w:val="18"/>
                <w:szCs w:val="22"/>
              </w:rPr>
              <w:t xml:space="preserve">R2 assumes RACH-less procedure may be considered for on-board RRC_CONNECTED UEs, which are to be handed over together with the mobile IAB-node (would depend also on the assumptions for UL synch). </w:t>
            </w:r>
          </w:p>
          <w:p w14:paraId="7C4EC024" w14:textId="77777777" w:rsidR="00BF49E1" w:rsidRPr="00BF49E1" w:rsidRDefault="00BF49E1" w:rsidP="00BF49E1">
            <w:pPr>
              <w:pStyle w:val="Agreement"/>
              <w:tabs>
                <w:tab w:val="num" w:pos="1619"/>
              </w:tabs>
              <w:ind w:left="360"/>
              <w:rPr>
                <w:b w:val="0"/>
                <w:bCs/>
                <w:sz w:val="18"/>
                <w:szCs w:val="22"/>
              </w:rPr>
            </w:pPr>
            <w:r w:rsidRPr="00BF49E1">
              <w:rPr>
                <w:b w:val="0"/>
                <w:bCs/>
                <w:sz w:val="18"/>
                <w:szCs w:val="22"/>
              </w:rPr>
              <w:t xml:space="preserve">R2 assumes that CHO or delayed RRC config could be the baseline for group mobility (FFS if could be applicable for mobility of IAB MT), </w:t>
            </w:r>
            <w:proofErr w:type="gramStart"/>
            <w:r w:rsidRPr="00BF49E1">
              <w:rPr>
                <w:b w:val="0"/>
                <w:bCs/>
                <w:sz w:val="18"/>
                <w:szCs w:val="22"/>
              </w:rPr>
              <w:t>i.e.</w:t>
            </w:r>
            <w:proofErr w:type="gramEnd"/>
            <w:r w:rsidRPr="00BF49E1">
              <w:rPr>
                <w:b w:val="0"/>
                <w:bCs/>
                <w:sz w:val="18"/>
                <w:szCs w:val="22"/>
              </w:rPr>
              <w:t xml:space="preserve"> with a preparation in advance (not immediately) of the execution. </w:t>
            </w:r>
          </w:p>
          <w:p w14:paraId="15543236" w14:textId="49460BBB" w:rsidR="00BF49E1" w:rsidRPr="00BF49E1" w:rsidRDefault="00BF49E1" w:rsidP="00BF49E1">
            <w:pPr>
              <w:pStyle w:val="Agreement"/>
              <w:tabs>
                <w:tab w:val="num" w:pos="1619"/>
              </w:tabs>
              <w:ind w:left="360"/>
              <w:rPr>
                <w:b w:val="0"/>
                <w:bCs/>
                <w:sz w:val="18"/>
                <w:szCs w:val="22"/>
              </w:rPr>
            </w:pPr>
            <w:r w:rsidRPr="00BF49E1">
              <w:rPr>
                <w:b w:val="0"/>
                <w:bCs/>
                <w:sz w:val="18"/>
                <w:szCs w:val="22"/>
              </w:rPr>
              <w:t xml:space="preserve">The following Points are Endorsed, </w:t>
            </w:r>
            <w:proofErr w:type="gramStart"/>
            <w:r w:rsidRPr="00BF49E1">
              <w:rPr>
                <w:b w:val="0"/>
                <w:bCs/>
                <w:sz w:val="18"/>
                <w:szCs w:val="22"/>
              </w:rPr>
              <w:t>i.e.</w:t>
            </w:r>
            <w:proofErr w:type="gramEnd"/>
            <w:r w:rsidRPr="00BF49E1">
              <w:rPr>
                <w:b w:val="0"/>
                <w:bCs/>
                <w:sz w:val="18"/>
                <w:szCs w:val="22"/>
              </w:rPr>
              <w:t xml:space="preserve"> for the plan for next meeting (after one round of discussion at R2 119-e): </w:t>
            </w:r>
          </w:p>
          <w:p w14:paraId="5A16FD8F" w14:textId="77777777" w:rsidR="00BF49E1" w:rsidRPr="00BF49E1" w:rsidRDefault="00BF49E1" w:rsidP="00BF49E1">
            <w:pPr>
              <w:pStyle w:val="Agreement"/>
              <w:numPr>
                <w:ilvl w:val="0"/>
                <w:numId w:val="32"/>
              </w:numPr>
              <w:rPr>
                <w:b w:val="0"/>
                <w:bCs/>
                <w:sz w:val="18"/>
                <w:szCs w:val="22"/>
              </w:rPr>
            </w:pPr>
            <w:r w:rsidRPr="00BF49E1">
              <w:rPr>
                <w:b w:val="0"/>
                <w:bCs/>
                <w:sz w:val="18"/>
                <w:szCs w:val="22"/>
              </w:rPr>
              <w:t xml:space="preserve">P1: RAN2 to discuss scenarios, if and where enhancements to cell (re-)selection to/from the mobile IAB-node apply, </w:t>
            </w:r>
            <w:proofErr w:type="gramStart"/>
            <w:r w:rsidRPr="00BF49E1">
              <w:rPr>
                <w:b w:val="0"/>
                <w:bCs/>
                <w:sz w:val="18"/>
                <w:szCs w:val="22"/>
              </w:rPr>
              <w:t>e.g.</w:t>
            </w:r>
            <w:proofErr w:type="gramEnd"/>
            <w:r w:rsidRPr="00BF49E1">
              <w:rPr>
                <w:b w:val="0"/>
                <w:bCs/>
                <w:sz w:val="18"/>
                <w:szCs w:val="22"/>
              </w:rPr>
              <w:t xml:space="preserve"> based on mobile IAB-node broadcast parameter (this point doesn’t preclude other potential usage of </w:t>
            </w:r>
            <w:proofErr w:type="spellStart"/>
            <w:r w:rsidRPr="00BF49E1">
              <w:rPr>
                <w:b w:val="0"/>
                <w:bCs/>
                <w:sz w:val="18"/>
                <w:szCs w:val="22"/>
              </w:rPr>
              <w:t>Bcast</w:t>
            </w:r>
            <w:proofErr w:type="spellEnd"/>
            <w:r w:rsidRPr="00BF49E1">
              <w:rPr>
                <w:b w:val="0"/>
                <w:bCs/>
                <w:sz w:val="18"/>
                <w:szCs w:val="22"/>
              </w:rPr>
              <w:t xml:space="preserve"> info).</w:t>
            </w:r>
          </w:p>
          <w:p w14:paraId="3F0A3CC7" w14:textId="77777777" w:rsidR="00BF49E1" w:rsidRPr="00BF49E1" w:rsidRDefault="00BF49E1" w:rsidP="00BF49E1">
            <w:pPr>
              <w:pStyle w:val="Agreement"/>
              <w:numPr>
                <w:ilvl w:val="0"/>
                <w:numId w:val="32"/>
              </w:numPr>
              <w:rPr>
                <w:b w:val="0"/>
                <w:bCs/>
                <w:sz w:val="18"/>
                <w:szCs w:val="22"/>
              </w:rPr>
            </w:pPr>
            <w:r w:rsidRPr="00BF49E1">
              <w:rPr>
                <w:b w:val="0"/>
                <w:bCs/>
                <w:sz w:val="18"/>
                <w:szCs w:val="22"/>
              </w:rPr>
              <w:t xml:space="preserve">P2: Can discuss whether </w:t>
            </w:r>
            <w:proofErr w:type="gramStart"/>
            <w:r w:rsidRPr="00BF49E1">
              <w:rPr>
                <w:b w:val="0"/>
                <w:bCs/>
                <w:sz w:val="18"/>
                <w:szCs w:val="22"/>
              </w:rPr>
              <w:t>The</w:t>
            </w:r>
            <w:proofErr w:type="gramEnd"/>
            <w:r w:rsidRPr="00BF49E1">
              <w:rPr>
                <w:b w:val="0"/>
                <w:bCs/>
                <w:sz w:val="18"/>
                <w:szCs w:val="22"/>
              </w:rPr>
              <w:t xml:space="preserve"> mobile IAB-MT need to send a mobile-IAB indication (capability or mobility) to the IAB-donor-CU,</w:t>
            </w:r>
          </w:p>
          <w:p w14:paraId="06CA725E" w14:textId="77777777" w:rsidR="00BF49E1" w:rsidRPr="00BF49E1" w:rsidRDefault="00BF49E1" w:rsidP="00BF49E1">
            <w:pPr>
              <w:pStyle w:val="Agreement"/>
              <w:numPr>
                <w:ilvl w:val="0"/>
                <w:numId w:val="32"/>
              </w:numPr>
              <w:rPr>
                <w:b w:val="0"/>
                <w:bCs/>
                <w:sz w:val="18"/>
                <w:szCs w:val="22"/>
              </w:rPr>
            </w:pPr>
            <w:r w:rsidRPr="00BF49E1">
              <w:rPr>
                <w:b w:val="0"/>
                <w:bCs/>
                <w:sz w:val="18"/>
                <w:szCs w:val="22"/>
              </w:rPr>
              <w:t xml:space="preserve">P3: For “dual-DU-way” of doing full migration, RAN2 may discuss whether the legacy UE should see the two logical cells/DUs as separate or same physical cell(s), and what procedure(s) the legacy UE needs to perform in either case. </w:t>
            </w:r>
          </w:p>
          <w:p w14:paraId="1F922BFC" w14:textId="77777777" w:rsidR="00BF49E1" w:rsidRPr="00BF49E1" w:rsidRDefault="00BF49E1" w:rsidP="00BF49E1">
            <w:pPr>
              <w:pStyle w:val="Agreement"/>
              <w:numPr>
                <w:ilvl w:val="0"/>
                <w:numId w:val="32"/>
              </w:numPr>
              <w:rPr>
                <w:b w:val="0"/>
                <w:bCs/>
                <w:sz w:val="18"/>
                <w:szCs w:val="22"/>
              </w:rPr>
            </w:pPr>
            <w:r w:rsidRPr="00BF49E1">
              <w:rPr>
                <w:b w:val="0"/>
                <w:bCs/>
                <w:sz w:val="18"/>
                <w:szCs w:val="22"/>
              </w:rPr>
              <w:t xml:space="preserve">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p w14:paraId="080149EE" w14:textId="06F3E173" w:rsidR="00B65E42" w:rsidRPr="00BF49E1" w:rsidRDefault="00BF49E1" w:rsidP="00BF49E1">
            <w:pPr>
              <w:pStyle w:val="Agreement"/>
              <w:numPr>
                <w:ilvl w:val="0"/>
                <w:numId w:val="32"/>
              </w:numPr>
            </w:pPr>
            <w:r w:rsidRPr="00BF49E1">
              <w:rPr>
                <w:b w:val="0"/>
                <w:bCs/>
                <w:sz w:val="18"/>
                <w:szCs w:val="22"/>
              </w:rPr>
              <w:t>P5: RAN2 may discuss whether there is a problem of RACH configuration collision between mobile IAB and stationary network from RAN2 perspective and/or whether RAN2 should ask RAN1 to consider RAN1-related aspects.</w:t>
            </w:r>
            <w:r w:rsidRPr="00BF49E1">
              <w:rPr>
                <w:sz w:val="18"/>
                <w:szCs w:val="22"/>
              </w:rPr>
              <w:t xml:space="preserve"> </w:t>
            </w:r>
          </w:p>
        </w:tc>
      </w:tr>
    </w:tbl>
    <w:p w14:paraId="5CA0210C" w14:textId="77777777" w:rsidR="00B65E42" w:rsidRDefault="00B65E42" w:rsidP="006600CD">
      <w:pPr>
        <w:spacing w:after="0"/>
      </w:pPr>
    </w:p>
    <w:p w14:paraId="662C4159" w14:textId="21A462C0" w:rsidR="00F705E6" w:rsidRDefault="00D80F5E" w:rsidP="00F705E6">
      <w:pPr>
        <w:spacing w:after="0"/>
      </w:pPr>
      <w:r>
        <w:t xml:space="preserve">This contribution discusses </w:t>
      </w:r>
      <w:r w:rsidR="005E359C">
        <w:t xml:space="preserve">the </w:t>
      </w:r>
      <w:r w:rsidR="00850CBF">
        <w:t xml:space="preserve">topics </w:t>
      </w:r>
      <w:r w:rsidR="005E359C">
        <w:t>P</w:t>
      </w:r>
      <w:r w:rsidR="004B055B">
        <w:t>4</w:t>
      </w:r>
      <w:r w:rsidR="005E359C">
        <w:t xml:space="preserve"> </w:t>
      </w:r>
      <w:r w:rsidR="004B055B">
        <w:t xml:space="preserve">and </w:t>
      </w:r>
      <w:r w:rsidR="005E359C">
        <w:t>P</w:t>
      </w:r>
      <w:r w:rsidR="004B055B">
        <w:t>5</w:t>
      </w:r>
      <w:r w:rsidR="00C01E8E">
        <w:t>.</w:t>
      </w:r>
    </w:p>
    <w:p w14:paraId="567263CA" w14:textId="77777777" w:rsidR="00F705E6" w:rsidRPr="00320A6B" w:rsidRDefault="00F705E6" w:rsidP="00382A17"/>
    <w:p w14:paraId="68AF9242" w14:textId="211BF4F2" w:rsidR="00CD4C7B" w:rsidRPr="00320A6B" w:rsidRDefault="00CD4C7B" w:rsidP="00CD4C7B">
      <w:pPr>
        <w:pStyle w:val="Heading1"/>
      </w:pPr>
      <w:r w:rsidRPr="00320A6B">
        <w:t>2</w:t>
      </w:r>
      <w:r w:rsidRPr="00320A6B">
        <w:tab/>
      </w:r>
      <w:r w:rsidR="00A66990">
        <w:t>Discussion</w:t>
      </w:r>
    </w:p>
    <w:p w14:paraId="6C550A74" w14:textId="77777777" w:rsidR="00A903F8" w:rsidRDefault="00A903F8" w:rsidP="00A903F8">
      <w:pPr>
        <w:pStyle w:val="Heading2"/>
      </w:pPr>
      <w:r>
        <w:t>2.2</w:t>
      </w:r>
      <w:r>
        <w:tab/>
        <w:t>PCI collision avoidance</w:t>
      </w:r>
    </w:p>
    <w:p w14:paraId="6AC84735" w14:textId="77777777" w:rsidR="00A903F8" w:rsidRPr="00A040F8" w:rsidRDefault="00A903F8" w:rsidP="00A903F8">
      <w:pPr>
        <w:spacing w:after="120"/>
      </w:pPr>
      <w:r w:rsidRPr="00A040F8">
        <w:t>The PCI range for</w:t>
      </w:r>
      <w:r>
        <w:t xml:space="preserve"> NR</w:t>
      </w:r>
      <w:r w:rsidRPr="00A040F8">
        <w:t xml:space="preserve"> is 1008. This number was chose</w:t>
      </w:r>
      <w:r>
        <w:t>n</w:t>
      </w:r>
      <w:r w:rsidRPr="00A040F8">
        <w:t xml:space="preserve"> as a compromise between network planning constraints and UE power consumption </w:t>
      </w:r>
      <w:r>
        <w:t>needed for</w:t>
      </w:r>
      <w:r w:rsidRPr="00A040F8">
        <w:t xml:space="preserve"> PCI search.</w:t>
      </w:r>
      <w:r>
        <w:t xml:space="preserve"> The PCI range for NR was already increased from 504 used by LTE due to the constraints encountered in LTE network planning.</w:t>
      </w:r>
    </w:p>
    <w:p w14:paraId="20609D23" w14:textId="77777777" w:rsidR="00A903F8" w:rsidRPr="00A040F8" w:rsidRDefault="00A903F8" w:rsidP="00A903F8">
      <w:pPr>
        <w:spacing w:after="120"/>
        <w:rPr>
          <w:b/>
          <w:bCs/>
        </w:rPr>
      </w:pPr>
      <w:r w:rsidRPr="00A040F8">
        <w:rPr>
          <w:b/>
          <w:bCs/>
        </w:rPr>
        <w:t xml:space="preserve">Observation 1: The </w:t>
      </w:r>
      <w:r>
        <w:rPr>
          <w:b/>
          <w:bCs/>
        </w:rPr>
        <w:t>NR</w:t>
      </w:r>
      <w:r w:rsidRPr="00A040F8">
        <w:rPr>
          <w:b/>
          <w:bCs/>
        </w:rPr>
        <w:t xml:space="preserve"> PCI range was </w:t>
      </w:r>
      <w:r>
        <w:rPr>
          <w:b/>
          <w:bCs/>
        </w:rPr>
        <w:t xml:space="preserve">chosen as </w:t>
      </w:r>
      <w:r w:rsidRPr="00A040F8">
        <w:rPr>
          <w:b/>
          <w:bCs/>
        </w:rPr>
        <w:t xml:space="preserve">a compromise between network planning constraints and UE power consumption used for </w:t>
      </w:r>
      <w:r>
        <w:rPr>
          <w:b/>
          <w:bCs/>
        </w:rPr>
        <w:t>PCI</w:t>
      </w:r>
      <w:r w:rsidRPr="00A040F8">
        <w:rPr>
          <w:b/>
          <w:bCs/>
        </w:rPr>
        <w:t xml:space="preserve"> search.</w:t>
      </w:r>
      <w:r>
        <w:rPr>
          <w:b/>
          <w:bCs/>
        </w:rPr>
        <w:t xml:space="preserve"> </w:t>
      </w:r>
    </w:p>
    <w:p w14:paraId="35791C4F" w14:textId="77777777" w:rsidR="00A903F8" w:rsidRDefault="00A903F8" w:rsidP="00A903F8">
      <w:pPr>
        <w:spacing w:after="120"/>
      </w:pPr>
      <w:r>
        <w:t>For a stationary network deployed over a 2-dimensional area, the PCI range of 1008 introduces an average reuse factor of 32 for each dimension. In 3-dimenionsal urban environments (e.g., New York, Hong Kong), at least two values are needed for the vertical dimension, reducing the reuse factor to only 16 in each horizontal dimension. Dense urban environments further establish waveguide conditions leading to an effective pathloss roll-off close to one. This waveguide effect severely exacerbates the PCI collision</w:t>
      </w:r>
      <w:r w:rsidRPr="00452F30">
        <w:t xml:space="preserve"> </w:t>
      </w:r>
      <w:r>
        <w:t>likelihood.</w:t>
      </w:r>
    </w:p>
    <w:p w14:paraId="023FDF51" w14:textId="77777777" w:rsidR="00A903F8" w:rsidRPr="001F5A27" w:rsidRDefault="00A903F8" w:rsidP="00A903F8">
      <w:pPr>
        <w:spacing w:after="120"/>
        <w:rPr>
          <w:b/>
          <w:bCs/>
        </w:rPr>
      </w:pPr>
      <w:r w:rsidRPr="001F5A27">
        <w:rPr>
          <w:b/>
          <w:bCs/>
        </w:rPr>
        <w:lastRenderedPageBreak/>
        <w:t xml:space="preserve">Observation </w:t>
      </w:r>
      <w:r>
        <w:rPr>
          <w:b/>
          <w:bCs/>
        </w:rPr>
        <w:t>2</w:t>
      </w:r>
      <w:r w:rsidRPr="001F5A27">
        <w:rPr>
          <w:b/>
          <w:bCs/>
        </w:rPr>
        <w:t xml:space="preserve">: The limit </w:t>
      </w:r>
      <w:r>
        <w:rPr>
          <w:b/>
          <w:bCs/>
        </w:rPr>
        <w:t>of</w:t>
      </w:r>
      <w:r w:rsidRPr="001F5A27">
        <w:rPr>
          <w:b/>
          <w:bCs/>
        </w:rPr>
        <w:t xml:space="preserve"> 1008 </w:t>
      </w:r>
      <w:r>
        <w:rPr>
          <w:b/>
          <w:bCs/>
        </w:rPr>
        <w:t xml:space="preserve">distinct </w:t>
      </w:r>
      <w:r w:rsidRPr="001F5A27">
        <w:rPr>
          <w:b/>
          <w:bCs/>
        </w:rPr>
        <w:t xml:space="preserve">PCI values </w:t>
      </w:r>
      <w:r>
        <w:rPr>
          <w:b/>
          <w:bCs/>
        </w:rPr>
        <w:t xml:space="preserve">presently </w:t>
      </w:r>
      <w:proofErr w:type="gramStart"/>
      <w:r>
        <w:rPr>
          <w:b/>
          <w:bCs/>
        </w:rPr>
        <w:t>imposes</w:t>
      </w:r>
      <w:proofErr w:type="gramEnd"/>
      <w:r>
        <w:rPr>
          <w:b/>
          <w:bCs/>
        </w:rPr>
        <w:t xml:space="preserve"> stringent </w:t>
      </w:r>
      <w:r w:rsidRPr="001F5A27">
        <w:rPr>
          <w:b/>
          <w:bCs/>
        </w:rPr>
        <w:t xml:space="preserve">constraints on </w:t>
      </w:r>
      <w:r>
        <w:rPr>
          <w:b/>
          <w:bCs/>
        </w:rPr>
        <w:t xml:space="preserve">the PCI planning for many </w:t>
      </w:r>
      <w:r w:rsidRPr="001F5A27">
        <w:rPr>
          <w:b/>
          <w:bCs/>
        </w:rPr>
        <w:t xml:space="preserve">stationary networks.  </w:t>
      </w:r>
    </w:p>
    <w:p w14:paraId="6766C704" w14:textId="77777777" w:rsidR="00A903F8" w:rsidRDefault="00A903F8" w:rsidP="00A903F8">
      <w:pPr>
        <w:spacing w:after="120"/>
      </w:pPr>
      <w:r>
        <w:t xml:space="preserve">Mobile IAB can operate in-band and out-of-band with respect to the stationary network. For in-band operation, the WID does not preclude deployment scenarios, where mobile IAB-nodes and stationary network use the same frequency. </w:t>
      </w:r>
    </w:p>
    <w:p w14:paraId="6CEDE52E" w14:textId="77777777" w:rsidR="00A903F8" w:rsidRDefault="00A903F8" w:rsidP="00A903F8">
      <w:pPr>
        <w:spacing w:after="120"/>
      </w:pPr>
      <w:r>
        <w:t xml:space="preserve">In this case, PCI collisions can occur between mobile IAB-nodes and stationary network, especially in scenarios where the mobile-IAB-node travels larger distance. </w:t>
      </w:r>
    </w:p>
    <w:p w14:paraId="7D7E08CC" w14:textId="77777777" w:rsidR="00A903F8" w:rsidRDefault="00A903F8" w:rsidP="00A903F8">
      <w:pPr>
        <w:spacing w:after="120"/>
      </w:pPr>
      <w:r>
        <w:t>Further, PCI collisions can occur among mobile IAB-nodes that use the same PCI, especially in dense urban areas where the number of mobile IAB-nodes is high and the mutual proximity between them cannot be controlled (e.g., on bus stops and in front of traffic lights).</w:t>
      </w:r>
    </w:p>
    <w:p w14:paraId="67247A4F" w14:textId="77777777" w:rsidR="00A903F8" w:rsidRPr="001F5A27" w:rsidRDefault="00A903F8" w:rsidP="00A903F8">
      <w:pPr>
        <w:spacing w:after="120"/>
        <w:rPr>
          <w:b/>
          <w:bCs/>
        </w:rPr>
      </w:pPr>
      <w:r w:rsidRPr="001F5A27">
        <w:rPr>
          <w:b/>
          <w:bCs/>
        </w:rPr>
        <w:t xml:space="preserve">Observation </w:t>
      </w:r>
      <w:r>
        <w:rPr>
          <w:b/>
          <w:bCs/>
        </w:rPr>
        <w:t>3</w:t>
      </w:r>
      <w:r w:rsidRPr="001F5A27">
        <w:rPr>
          <w:b/>
          <w:bCs/>
        </w:rPr>
        <w:t xml:space="preserve">: </w:t>
      </w:r>
      <w:r>
        <w:rPr>
          <w:b/>
          <w:bCs/>
        </w:rPr>
        <w:t>PCI collisions between the mobile IAB-node and the stationary network or between mobile IAB-nodes are very likely to occur.</w:t>
      </w:r>
      <w:r w:rsidRPr="001F5A27">
        <w:rPr>
          <w:b/>
          <w:bCs/>
        </w:rPr>
        <w:t xml:space="preserve">  </w:t>
      </w:r>
    </w:p>
    <w:p w14:paraId="7D7520CE" w14:textId="77777777" w:rsidR="00A903F8" w:rsidRDefault="00A903F8" w:rsidP="00A903F8">
      <w:pPr>
        <w:spacing w:after="120"/>
      </w:pPr>
      <w:r>
        <w:t>RAN3 agreed that PCI partitioning can be used to avoid PCI collisions. While this approach is technically feasible, it does not sufficiently scale to typical deployment conditions:</w:t>
      </w:r>
    </w:p>
    <w:p w14:paraId="1178858F" w14:textId="77777777" w:rsidR="00A903F8" w:rsidRDefault="00A903F8" w:rsidP="00A903F8">
      <w:pPr>
        <w:pStyle w:val="ListParagraph"/>
        <w:numPr>
          <w:ilvl w:val="0"/>
          <w:numId w:val="41"/>
        </w:numPr>
        <w:spacing w:after="120"/>
      </w:pPr>
      <w:r>
        <w:t xml:space="preserve">Reserving some of the 1008 PCI values for mobile IAB-nodes exacerbates the constraints of PCI planning for the stationary network. </w:t>
      </w:r>
    </w:p>
    <w:p w14:paraId="57A88934" w14:textId="77777777" w:rsidR="00A903F8" w:rsidRDefault="00A903F8" w:rsidP="00A903F8">
      <w:pPr>
        <w:pStyle w:val="ListParagraph"/>
        <w:numPr>
          <w:ilvl w:val="0"/>
          <w:numId w:val="41"/>
        </w:numPr>
        <w:spacing w:after="120"/>
      </w:pPr>
      <w:r>
        <w:t xml:space="preserve">The number of reserved PCI values for mobile IAB-nodes can only be small, which limits the scalability of the mobile IAB deployment unless PCI collisions between mobile IAB-nodes are tolerated.  </w:t>
      </w:r>
    </w:p>
    <w:p w14:paraId="77A469F4" w14:textId="77777777" w:rsidR="00A903F8" w:rsidRPr="001F5A27" w:rsidRDefault="00A903F8" w:rsidP="00A903F8">
      <w:pPr>
        <w:spacing w:after="120"/>
        <w:rPr>
          <w:b/>
          <w:bCs/>
        </w:rPr>
      </w:pPr>
      <w:r w:rsidRPr="001F5A27">
        <w:rPr>
          <w:b/>
          <w:bCs/>
        </w:rPr>
        <w:t xml:space="preserve">Observation </w:t>
      </w:r>
      <w:r>
        <w:rPr>
          <w:b/>
          <w:bCs/>
        </w:rPr>
        <w:t>4</w:t>
      </w:r>
      <w:r w:rsidRPr="001F5A27">
        <w:rPr>
          <w:b/>
          <w:bCs/>
        </w:rPr>
        <w:t xml:space="preserve">: </w:t>
      </w:r>
      <w:r>
        <w:rPr>
          <w:b/>
          <w:bCs/>
        </w:rPr>
        <w:t>PCI partitioning for mobile IAB-node exacerbates the constraints on PCI planning for the stationary network, and it has limited scalability for mobile-IAB deployment.</w:t>
      </w:r>
      <w:r w:rsidRPr="001F5A27">
        <w:rPr>
          <w:b/>
          <w:bCs/>
        </w:rPr>
        <w:t xml:space="preserve">  </w:t>
      </w:r>
    </w:p>
    <w:p w14:paraId="79819C37" w14:textId="77777777" w:rsidR="00A903F8" w:rsidRDefault="00A903F8" w:rsidP="00A903F8">
      <w:pPr>
        <w:spacing w:after="120"/>
      </w:pPr>
      <w:r>
        <w:t>Observations 1 to 4 imply that PCI partitioning is not enough to avoid PCI collisions in many mobile IAB deployments. Therefore, it is proposed:</w:t>
      </w:r>
    </w:p>
    <w:p w14:paraId="157EEBB2" w14:textId="13B716CB" w:rsidR="00A903F8" w:rsidRDefault="00A903F8" w:rsidP="00A903F8">
      <w:pPr>
        <w:spacing w:after="120"/>
      </w:pPr>
      <w:r>
        <w:t>PCI collision avoidance requires two means:</w:t>
      </w:r>
    </w:p>
    <w:p w14:paraId="4124C057" w14:textId="77777777" w:rsidR="00A903F8" w:rsidRPr="00863D51" w:rsidRDefault="00A903F8" w:rsidP="00A903F8">
      <w:pPr>
        <w:spacing w:after="120"/>
        <w:ind w:left="432"/>
        <w:rPr>
          <w:b/>
          <w:bCs/>
        </w:rPr>
      </w:pPr>
      <w:r w:rsidRPr="00863D51">
        <w:rPr>
          <w:b/>
          <w:bCs/>
        </w:rPr>
        <w:t xml:space="preserve">1) </w:t>
      </w:r>
      <w:r>
        <w:rPr>
          <w:b/>
          <w:bCs/>
        </w:rPr>
        <w:t xml:space="preserve">Detection of potential or pending </w:t>
      </w:r>
      <w:r w:rsidRPr="00863D51">
        <w:rPr>
          <w:b/>
          <w:bCs/>
        </w:rPr>
        <w:t>PCI collision</w:t>
      </w:r>
      <w:r>
        <w:rPr>
          <w:b/>
          <w:bCs/>
        </w:rPr>
        <w:t>s</w:t>
      </w:r>
    </w:p>
    <w:p w14:paraId="39F397AE" w14:textId="77777777" w:rsidR="00A903F8" w:rsidRPr="00863D51" w:rsidRDefault="00A903F8" w:rsidP="00A903F8">
      <w:pPr>
        <w:spacing w:after="120"/>
        <w:ind w:left="432"/>
        <w:rPr>
          <w:b/>
          <w:bCs/>
        </w:rPr>
      </w:pPr>
      <w:r w:rsidRPr="00863D51">
        <w:rPr>
          <w:b/>
          <w:bCs/>
        </w:rPr>
        <w:t xml:space="preserve">2) </w:t>
      </w:r>
      <w:r>
        <w:rPr>
          <w:b/>
          <w:bCs/>
        </w:rPr>
        <w:t xml:space="preserve">Dynamic change of </w:t>
      </w:r>
      <w:r w:rsidRPr="00863D51">
        <w:rPr>
          <w:b/>
          <w:bCs/>
        </w:rPr>
        <w:t xml:space="preserve">PCI </w:t>
      </w:r>
      <w:r>
        <w:rPr>
          <w:b/>
          <w:bCs/>
        </w:rPr>
        <w:t>configurations</w:t>
      </w:r>
    </w:p>
    <w:p w14:paraId="510ED264" w14:textId="22D1ACF4" w:rsidR="00A903F8" w:rsidRDefault="00A903F8" w:rsidP="00A903F8">
      <w:pPr>
        <w:spacing w:after="120"/>
      </w:pPr>
      <w:r>
        <w:t xml:space="preserve">Pending or actual PCI collisions can be detected through UE and/or IAB-MT measurement reports. For mobile IAB, it may also be possible to predict potential PCI collisions from the IAB-MT’s location. </w:t>
      </w:r>
    </w:p>
    <w:p w14:paraId="58C94CFE" w14:textId="77777777" w:rsidR="00A903F8" w:rsidRDefault="00A903F8" w:rsidP="00A903F8">
      <w:pPr>
        <w:spacing w:after="120"/>
      </w:pPr>
      <w:r>
        <w:t xml:space="preserve">In case pending or potential PCI collisions have been detected, the </w:t>
      </w:r>
      <w:proofErr w:type="spellStart"/>
      <w:r>
        <w:t>gNB</w:t>
      </w:r>
      <w:proofErr w:type="spellEnd"/>
      <w:r>
        <w:t xml:space="preserve">-CU can reconfigure the </w:t>
      </w:r>
      <w:proofErr w:type="spellStart"/>
      <w:r>
        <w:t>gNB</w:t>
      </w:r>
      <w:proofErr w:type="spellEnd"/>
      <w:r>
        <w:t>-DU’s PCI via F1AP. PCI reconfiguration by itself, however, will lead to RLF for all UEs connected. For that reason, PCI reconfiguration alone is not an appropriate mean for PCI collisions avoidance.</w:t>
      </w:r>
    </w:p>
    <w:p w14:paraId="3D9B87D6" w14:textId="77777777" w:rsidR="00A903F8" w:rsidRPr="001F5A27" w:rsidRDefault="00A903F8" w:rsidP="00A903F8">
      <w:pPr>
        <w:spacing w:after="120"/>
        <w:rPr>
          <w:b/>
          <w:bCs/>
        </w:rPr>
      </w:pPr>
      <w:r w:rsidRPr="001F5A27">
        <w:rPr>
          <w:b/>
          <w:bCs/>
        </w:rPr>
        <w:t xml:space="preserve">Observation </w:t>
      </w:r>
      <w:r>
        <w:rPr>
          <w:b/>
          <w:bCs/>
        </w:rPr>
        <w:t>6</w:t>
      </w:r>
      <w:r w:rsidRPr="001F5A27">
        <w:rPr>
          <w:b/>
          <w:bCs/>
        </w:rPr>
        <w:t xml:space="preserve">: </w:t>
      </w:r>
      <w:r>
        <w:rPr>
          <w:b/>
          <w:bCs/>
        </w:rPr>
        <w:t xml:space="preserve">PCI reconfiguration of the </w:t>
      </w:r>
      <w:proofErr w:type="spellStart"/>
      <w:r>
        <w:rPr>
          <w:b/>
          <w:bCs/>
        </w:rPr>
        <w:t>gNB</w:t>
      </w:r>
      <w:proofErr w:type="spellEnd"/>
      <w:r>
        <w:rPr>
          <w:b/>
          <w:bCs/>
        </w:rPr>
        <w:t>-DU’s cell leads to RLF for all UEs connected, and therefore, it by itself is not an appropriate mean to for PCI collision avoidance.</w:t>
      </w:r>
      <w:r w:rsidRPr="001F5A27">
        <w:rPr>
          <w:b/>
          <w:bCs/>
        </w:rPr>
        <w:t xml:space="preserve">  </w:t>
      </w:r>
    </w:p>
    <w:p w14:paraId="28B5CB6E" w14:textId="5C666BF2" w:rsidR="00A903F8" w:rsidRDefault="00A903F8" w:rsidP="00A903F8">
      <w:pPr>
        <w:spacing w:after="120"/>
        <w:rPr>
          <w:b/>
          <w:bCs/>
        </w:rPr>
      </w:pPr>
      <w:r w:rsidRPr="000B2CBF">
        <w:rPr>
          <w:b/>
          <w:bCs/>
        </w:rPr>
        <w:t xml:space="preserve">Proposal 1: </w:t>
      </w:r>
      <w:r w:rsidR="008E60AD">
        <w:rPr>
          <w:b/>
          <w:bCs/>
        </w:rPr>
        <w:t>A n</w:t>
      </w:r>
      <w:r>
        <w:rPr>
          <w:b/>
          <w:bCs/>
        </w:rPr>
        <w:t>etwork-controlled PCI change procedures to be supported for mobile IAB, which does not lead to   RLF for connected UE.</w:t>
      </w:r>
    </w:p>
    <w:p w14:paraId="7168F583" w14:textId="4BB5ADE6" w:rsidR="00A903F8" w:rsidRDefault="00A903F8" w:rsidP="00A903F8">
      <w:pPr>
        <w:spacing w:after="120"/>
      </w:pPr>
      <w:r>
        <w:t xml:space="preserve">RAN3 agreed to support </w:t>
      </w:r>
      <w:r w:rsidRPr="00A903F8">
        <w:rPr>
          <w:highlight w:val="yellow"/>
        </w:rPr>
        <w:t>inter</w:t>
      </w:r>
      <w:r>
        <w:t xml:space="preserve">-donor IAB-DU migration where the UEs perform handover between two logical cells on the IAB-node, which belong to separate IAB-donors. This procedure can also be used for </w:t>
      </w:r>
      <w:r w:rsidRPr="00A903F8">
        <w:rPr>
          <w:highlight w:val="yellow"/>
        </w:rPr>
        <w:t>intra</w:t>
      </w:r>
      <w:r>
        <w:t>-donor PCI change, where the two logical cells belong to the same IAB-donor.</w:t>
      </w:r>
    </w:p>
    <w:p w14:paraId="24C78C5A" w14:textId="2FA9C77E" w:rsidR="00A903F8" w:rsidRDefault="00A903F8" w:rsidP="00A903F8">
      <w:pPr>
        <w:spacing w:after="120"/>
        <w:rPr>
          <w:b/>
          <w:bCs/>
        </w:rPr>
      </w:pPr>
      <w:r w:rsidRPr="000B2CBF">
        <w:rPr>
          <w:b/>
          <w:bCs/>
        </w:rPr>
        <w:t xml:space="preserve">Proposal </w:t>
      </w:r>
      <w:r>
        <w:rPr>
          <w:b/>
          <w:bCs/>
        </w:rPr>
        <w:t>2</w:t>
      </w:r>
      <w:r w:rsidRPr="000B2CBF">
        <w:rPr>
          <w:b/>
          <w:bCs/>
        </w:rPr>
        <w:t xml:space="preserve">: </w:t>
      </w:r>
      <w:r>
        <w:rPr>
          <w:b/>
          <w:bCs/>
        </w:rPr>
        <w:t>RAN2 believes that the inter-donor IAB-DU migration procedure can be leveraged for network-controlled PCI change, where the two logical cells have different PCI and belong to the same IAB-donor.</w:t>
      </w:r>
    </w:p>
    <w:p w14:paraId="69188188" w14:textId="30084986" w:rsidR="00A903F8" w:rsidRDefault="00A903F8" w:rsidP="00A903F8">
      <w:pPr>
        <w:spacing w:after="120"/>
        <w:rPr>
          <w:b/>
          <w:bCs/>
        </w:rPr>
      </w:pPr>
      <w:r w:rsidRPr="000B2CBF">
        <w:rPr>
          <w:b/>
          <w:bCs/>
        </w:rPr>
        <w:t xml:space="preserve">Proposal </w:t>
      </w:r>
      <w:r>
        <w:rPr>
          <w:b/>
          <w:bCs/>
        </w:rPr>
        <w:t>3</w:t>
      </w:r>
      <w:r w:rsidRPr="000B2CBF">
        <w:rPr>
          <w:b/>
          <w:bCs/>
        </w:rPr>
        <w:t xml:space="preserve">: </w:t>
      </w:r>
      <w:r>
        <w:rPr>
          <w:b/>
          <w:bCs/>
        </w:rPr>
        <w:t>LS to be sent to RAN3 to motivate the reason for network-controlled PCI change for mobile IAB and include proposal 2.</w:t>
      </w:r>
    </w:p>
    <w:p w14:paraId="0FEAC622" w14:textId="77777777" w:rsidR="00A903F8" w:rsidRDefault="00A903F8" w:rsidP="00A903F8">
      <w:pPr>
        <w:spacing w:after="120"/>
      </w:pPr>
    </w:p>
    <w:p w14:paraId="1E817576" w14:textId="77777777" w:rsidR="00A903F8" w:rsidRDefault="00A903F8" w:rsidP="00A903F8">
      <w:pPr>
        <w:pStyle w:val="Heading2"/>
      </w:pPr>
      <w:r>
        <w:t>2.3</w:t>
      </w:r>
      <w:r>
        <w:tab/>
        <w:t>RACH configuration collisions</w:t>
      </w:r>
    </w:p>
    <w:p w14:paraId="1794E9A1" w14:textId="0DD54086" w:rsidR="008E60AD" w:rsidRDefault="008E60AD" w:rsidP="00A903F8">
      <w:pPr>
        <w:spacing w:after="120"/>
      </w:pPr>
      <w:r>
        <w:t>From RAN2 perspective, there is no obvious problem with RACH configuration collisions for mobile IAB. It cannot be precluded that RAN1 may identify any issues related to RACH configuration collisions for mobile IAB.</w:t>
      </w:r>
    </w:p>
    <w:p w14:paraId="4B9E22A8" w14:textId="1D750654" w:rsidR="00A903F8" w:rsidRDefault="00A903F8" w:rsidP="00A903F8">
      <w:pPr>
        <w:spacing w:after="120"/>
      </w:pPr>
      <w:r>
        <w:t xml:space="preserve">Since </w:t>
      </w:r>
      <w:r w:rsidR="008E60AD">
        <w:t xml:space="preserve">the RA procedure is in RAN2 scope, RAN2 </w:t>
      </w:r>
      <w:r>
        <w:t xml:space="preserve">should </w:t>
      </w:r>
      <w:r w:rsidR="008E60AD">
        <w:t>ask</w:t>
      </w:r>
      <w:r>
        <w:t xml:space="preserve"> RAN1 </w:t>
      </w:r>
      <w:r w:rsidR="008E60AD">
        <w:t>if they see any potential issues.</w:t>
      </w:r>
    </w:p>
    <w:p w14:paraId="0CA45662" w14:textId="1BECC82C" w:rsidR="00A903F8" w:rsidRPr="008E60AD" w:rsidRDefault="00A903F8" w:rsidP="00A903F8">
      <w:pPr>
        <w:spacing w:after="120"/>
        <w:rPr>
          <w:b/>
          <w:bCs/>
        </w:rPr>
      </w:pPr>
      <w:r w:rsidRPr="008E60AD">
        <w:rPr>
          <w:b/>
          <w:bCs/>
        </w:rPr>
        <w:t xml:space="preserve">Proposal </w:t>
      </w:r>
      <w:r w:rsidR="008E60AD" w:rsidRPr="008E60AD">
        <w:rPr>
          <w:b/>
          <w:bCs/>
        </w:rPr>
        <w:t>4</w:t>
      </w:r>
      <w:r w:rsidRPr="008E60AD">
        <w:rPr>
          <w:b/>
          <w:bCs/>
        </w:rPr>
        <w:t>: RAN</w:t>
      </w:r>
      <w:r w:rsidR="008E60AD" w:rsidRPr="008E60AD">
        <w:rPr>
          <w:b/>
          <w:bCs/>
        </w:rPr>
        <w:t>2</w:t>
      </w:r>
      <w:r w:rsidRPr="008E60AD">
        <w:rPr>
          <w:b/>
          <w:bCs/>
        </w:rPr>
        <w:t xml:space="preserve"> to liaise RAN1 </w:t>
      </w:r>
      <w:r w:rsidR="008E60AD" w:rsidRPr="008E60AD">
        <w:rPr>
          <w:b/>
          <w:bCs/>
        </w:rPr>
        <w:t>if they see potential issues related to RACH configuration collisions for mobile IAB</w:t>
      </w:r>
      <w:r w:rsidRPr="008E60AD">
        <w:rPr>
          <w:b/>
          <w:bCs/>
        </w:rPr>
        <w:t>.</w:t>
      </w:r>
    </w:p>
    <w:p w14:paraId="1602390B" w14:textId="1AD0C9BC" w:rsidR="00591100" w:rsidRDefault="00591100" w:rsidP="003A5C13">
      <w:pPr>
        <w:spacing w:after="120"/>
      </w:pPr>
    </w:p>
    <w:p w14:paraId="370B0817" w14:textId="2B1BC053" w:rsidR="008E60AD" w:rsidRPr="00320A6B" w:rsidRDefault="008E60AD" w:rsidP="008E60AD">
      <w:pPr>
        <w:pStyle w:val="Heading1"/>
      </w:pPr>
      <w:r>
        <w:lastRenderedPageBreak/>
        <w:t>3</w:t>
      </w:r>
      <w:r w:rsidRPr="00320A6B">
        <w:tab/>
      </w:r>
      <w:r>
        <w:t>Conclusions</w:t>
      </w:r>
    </w:p>
    <w:p w14:paraId="6483ADBD" w14:textId="43A539DF" w:rsidR="008E60AD" w:rsidRDefault="008E60AD" w:rsidP="008E60AD">
      <w:pPr>
        <w:spacing w:after="0"/>
      </w:pPr>
      <w:r>
        <w:t>This contribution discussed PCI collision avoidance and RACH configuration collision issues. The following observations and proposals have been made:</w:t>
      </w:r>
    </w:p>
    <w:p w14:paraId="0B5E41E5" w14:textId="77777777" w:rsidR="008E60AD" w:rsidRDefault="008E60AD" w:rsidP="008E60AD">
      <w:pPr>
        <w:spacing w:after="120"/>
        <w:rPr>
          <w:b/>
          <w:bCs/>
        </w:rPr>
      </w:pPr>
    </w:p>
    <w:p w14:paraId="641415E2" w14:textId="081AE8B6" w:rsidR="008E60AD" w:rsidRPr="00A040F8" w:rsidRDefault="008E60AD" w:rsidP="008E60AD">
      <w:pPr>
        <w:spacing w:after="120"/>
        <w:rPr>
          <w:b/>
          <w:bCs/>
        </w:rPr>
      </w:pPr>
      <w:r w:rsidRPr="00A040F8">
        <w:rPr>
          <w:b/>
          <w:bCs/>
        </w:rPr>
        <w:t xml:space="preserve">Observation 1: The </w:t>
      </w:r>
      <w:r>
        <w:rPr>
          <w:b/>
          <w:bCs/>
        </w:rPr>
        <w:t>NR</w:t>
      </w:r>
      <w:r w:rsidRPr="00A040F8">
        <w:rPr>
          <w:b/>
          <w:bCs/>
        </w:rPr>
        <w:t xml:space="preserve"> PCI range was </w:t>
      </w:r>
      <w:r>
        <w:rPr>
          <w:b/>
          <w:bCs/>
        </w:rPr>
        <w:t xml:space="preserve">chosen as </w:t>
      </w:r>
      <w:r w:rsidRPr="00A040F8">
        <w:rPr>
          <w:b/>
          <w:bCs/>
        </w:rPr>
        <w:t xml:space="preserve">a compromise between network planning constraints and UE power consumption used for </w:t>
      </w:r>
      <w:r>
        <w:rPr>
          <w:b/>
          <w:bCs/>
        </w:rPr>
        <w:t>PCI</w:t>
      </w:r>
      <w:r w:rsidRPr="00A040F8">
        <w:rPr>
          <w:b/>
          <w:bCs/>
        </w:rPr>
        <w:t xml:space="preserve"> search.</w:t>
      </w:r>
      <w:r>
        <w:rPr>
          <w:b/>
          <w:bCs/>
        </w:rPr>
        <w:t xml:space="preserve"> </w:t>
      </w:r>
    </w:p>
    <w:p w14:paraId="7CDB043F" w14:textId="77777777" w:rsidR="008E60AD" w:rsidRPr="001F5A27" w:rsidRDefault="008E60AD" w:rsidP="008E60AD">
      <w:pPr>
        <w:spacing w:after="120"/>
        <w:rPr>
          <w:b/>
          <w:bCs/>
        </w:rPr>
      </w:pPr>
      <w:r w:rsidRPr="001F5A27">
        <w:rPr>
          <w:b/>
          <w:bCs/>
        </w:rPr>
        <w:t xml:space="preserve">Observation </w:t>
      </w:r>
      <w:r>
        <w:rPr>
          <w:b/>
          <w:bCs/>
        </w:rPr>
        <w:t>2</w:t>
      </w:r>
      <w:r w:rsidRPr="001F5A27">
        <w:rPr>
          <w:b/>
          <w:bCs/>
        </w:rPr>
        <w:t xml:space="preserve">: The limit </w:t>
      </w:r>
      <w:r>
        <w:rPr>
          <w:b/>
          <w:bCs/>
        </w:rPr>
        <w:t>of</w:t>
      </w:r>
      <w:r w:rsidRPr="001F5A27">
        <w:rPr>
          <w:b/>
          <w:bCs/>
        </w:rPr>
        <w:t xml:space="preserve"> 1008 </w:t>
      </w:r>
      <w:r>
        <w:rPr>
          <w:b/>
          <w:bCs/>
        </w:rPr>
        <w:t xml:space="preserve">distinct </w:t>
      </w:r>
      <w:r w:rsidRPr="001F5A27">
        <w:rPr>
          <w:b/>
          <w:bCs/>
        </w:rPr>
        <w:t xml:space="preserve">PCI values </w:t>
      </w:r>
      <w:r>
        <w:rPr>
          <w:b/>
          <w:bCs/>
        </w:rPr>
        <w:t xml:space="preserve">presently </w:t>
      </w:r>
      <w:proofErr w:type="gramStart"/>
      <w:r>
        <w:rPr>
          <w:b/>
          <w:bCs/>
        </w:rPr>
        <w:t>imposes</w:t>
      </w:r>
      <w:proofErr w:type="gramEnd"/>
      <w:r>
        <w:rPr>
          <w:b/>
          <w:bCs/>
        </w:rPr>
        <w:t xml:space="preserve"> stringent </w:t>
      </w:r>
      <w:r w:rsidRPr="001F5A27">
        <w:rPr>
          <w:b/>
          <w:bCs/>
        </w:rPr>
        <w:t xml:space="preserve">constraints on </w:t>
      </w:r>
      <w:r>
        <w:rPr>
          <w:b/>
          <w:bCs/>
        </w:rPr>
        <w:t xml:space="preserve">the PCI planning for many </w:t>
      </w:r>
      <w:r w:rsidRPr="001F5A27">
        <w:rPr>
          <w:b/>
          <w:bCs/>
        </w:rPr>
        <w:t xml:space="preserve">stationary networks.  </w:t>
      </w:r>
    </w:p>
    <w:p w14:paraId="004AE502" w14:textId="77777777" w:rsidR="008E60AD" w:rsidRPr="001F5A27" w:rsidRDefault="008E60AD" w:rsidP="008E60AD">
      <w:pPr>
        <w:spacing w:after="120"/>
        <w:rPr>
          <w:b/>
          <w:bCs/>
        </w:rPr>
      </w:pPr>
      <w:r w:rsidRPr="001F5A27">
        <w:rPr>
          <w:b/>
          <w:bCs/>
        </w:rPr>
        <w:t xml:space="preserve">Observation </w:t>
      </w:r>
      <w:r>
        <w:rPr>
          <w:b/>
          <w:bCs/>
        </w:rPr>
        <w:t>3</w:t>
      </w:r>
      <w:r w:rsidRPr="001F5A27">
        <w:rPr>
          <w:b/>
          <w:bCs/>
        </w:rPr>
        <w:t xml:space="preserve">: </w:t>
      </w:r>
      <w:r>
        <w:rPr>
          <w:b/>
          <w:bCs/>
        </w:rPr>
        <w:t>PCI collisions between the mobile IAB-node and the stationary network or between mobile IAB-nodes are very likely to occur.</w:t>
      </w:r>
      <w:r w:rsidRPr="001F5A27">
        <w:rPr>
          <w:b/>
          <w:bCs/>
        </w:rPr>
        <w:t xml:space="preserve">  </w:t>
      </w:r>
    </w:p>
    <w:p w14:paraId="1A7EA7D0" w14:textId="77777777" w:rsidR="008E60AD" w:rsidRPr="001F5A27" w:rsidRDefault="008E60AD" w:rsidP="008E60AD">
      <w:pPr>
        <w:spacing w:after="120"/>
        <w:rPr>
          <w:b/>
          <w:bCs/>
        </w:rPr>
      </w:pPr>
      <w:r w:rsidRPr="001F5A27">
        <w:rPr>
          <w:b/>
          <w:bCs/>
        </w:rPr>
        <w:t xml:space="preserve">Observation </w:t>
      </w:r>
      <w:r>
        <w:rPr>
          <w:b/>
          <w:bCs/>
        </w:rPr>
        <w:t>4</w:t>
      </w:r>
      <w:r w:rsidRPr="001F5A27">
        <w:rPr>
          <w:b/>
          <w:bCs/>
        </w:rPr>
        <w:t xml:space="preserve">: </w:t>
      </w:r>
      <w:r>
        <w:rPr>
          <w:b/>
          <w:bCs/>
        </w:rPr>
        <w:t>PCI partitioning for mobile IAB-node exacerbates the constraints on PCI planning for the stationary network, and it has limited scalability for mobile-IAB deployment.</w:t>
      </w:r>
      <w:r w:rsidRPr="001F5A27">
        <w:rPr>
          <w:b/>
          <w:bCs/>
        </w:rPr>
        <w:t xml:space="preserve">  </w:t>
      </w:r>
    </w:p>
    <w:p w14:paraId="428A9C91" w14:textId="77777777" w:rsidR="008E60AD" w:rsidRPr="001F5A27" w:rsidRDefault="008E60AD" w:rsidP="008E60AD">
      <w:pPr>
        <w:spacing w:after="120"/>
        <w:rPr>
          <w:b/>
          <w:bCs/>
        </w:rPr>
      </w:pPr>
      <w:r w:rsidRPr="001F5A27">
        <w:rPr>
          <w:b/>
          <w:bCs/>
        </w:rPr>
        <w:t xml:space="preserve">Observation </w:t>
      </w:r>
      <w:r>
        <w:rPr>
          <w:b/>
          <w:bCs/>
        </w:rPr>
        <w:t>6</w:t>
      </w:r>
      <w:r w:rsidRPr="001F5A27">
        <w:rPr>
          <w:b/>
          <w:bCs/>
        </w:rPr>
        <w:t xml:space="preserve">: </w:t>
      </w:r>
      <w:r>
        <w:rPr>
          <w:b/>
          <w:bCs/>
        </w:rPr>
        <w:t xml:space="preserve">PCI reconfiguration of the </w:t>
      </w:r>
      <w:proofErr w:type="spellStart"/>
      <w:r>
        <w:rPr>
          <w:b/>
          <w:bCs/>
        </w:rPr>
        <w:t>gNB</w:t>
      </w:r>
      <w:proofErr w:type="spellEnd"/>
      <w:r>
        <w:rPr>
          <w:b/>
          <w:bCs/>
        </w:rPr>
        <w:t>-DU’s cell leads to RLF for all UEs connected, and therefore, it by itself is not an appropriate mean to for PCI collision avoidance.</w:t>
      </w:r>
      <w:r w:rsidRPr="001F5A27">
        <w:rPr>
          <w:b/>
          <w:bCs/>
        </w:rPr>
        <w:t xml:space="preserve">  </w:t>
      </w:r>
    </w:p>
    <w:p w14:paraId="7AC4ECC7" w14:textId="77777777" w:rsidR="008E60AD" w:rsidRDefault="008E60AD" w:rsidP="008E60AD">
      <w:pPr>
        <w:spacing w:after="120"/>
        <w:rPr>
          <w:b/>
          <w:bCs/>
        </w:rPr>
      </w:pPr>
    </w:p>
    <w:p w14:paraId="5AA5301B" w14:textId="1D6E9476" w:rsidR="008E60AD" w:rsidRDefault="008E60AD" w:rsidP="008E60AD">
      <w:pPr>
        <w:spacing w:after="120"/>
        <w:rPr>
          <w:b/>
          <w:bCs/>
        </w:rPr>
      </w:pPr>
      <w:r w:rsidRPr="000B2CBF">
        <w:rPr>
          <w:b/>
          <w:bCs/>
        </w:rPr>
        <w:t xml:space="preserve">Proposal 1: </w:t>
      </w:r>
      <w:r>
        <w:rPr>
          <w:b/>
          <w:bCs/>
        </w:rPr>
        <w:t>A network-controlled PCI change procedure to be supported for mobile IAB, which does not lead to   RLF for connected UE.</w:t>
      </w:r>
    </w:p>
    <w:p w14:paraId="62751275" w14:textId="77777777" w:rsidR="008E60AD" w:rsidRDefault="008E60AD" w:rsidP="008E60AD">
      <w:pPr>
        <w:spacing w:after="120"/>
        <w:rPr>
          <w:b/>
          <w:bCs/>
        </w:rPr>
      </w:pPr>
      <w:r w:rsidRPr="000B2CBF">
        <w:rPr>
          <w:b/>
          <w:bCs/>
        </w:rPr>
        <w:t xml:space="preserve">Proposal </w:t>
      </w:r>
      <w:r>
        <w:rPr>
          <w:b/>
          <w:bCs/>
        </w:rPr>
        <w:t>2</w:t>
      </w:r>
      <w:r w:rsidRPr="000B2CBF">
        <w:rPr>
          <w:b/>
          <w:bCs/>
        </w:rPr>
        <w:t xml:space="preserve">: </w:t>
      </w:r>
      <w:r>
        <w:rPr>
          <w:b/>
          <w:bCs/>
        </w:rPr>
        <w:t>RAN2 believes that the inter-donor IAB-DU migration procedure can be leveraged for network-controlled PCI change, where the two logical cells have different PCI and belong to the same IAB-donor.</w:t>
      </w:r>
    </w:p>
    <w:p w14:paraId="405201C6" w14:textId="77777777" w:rsidR="008E60AD" w:rsidRDefault="008E60AD" w:rsidP="008E60AD">
      <w:pPr>
        <w:spacing w:after="120"/>
        <w:rPr>
          <w:b/>
          <w:bCs/>
        </w:rPr>
      </w:pPr>
      <w:r w:rsidRPr="000B2CBF">
        <w:rPr>
          <w:b/>
          <w:bCs/>
        </w:rPr>
        <w:t xml:space="preserve">Proposal </w:t>
      </w:r>
      <w:r>
        <w:rPr>
          <w:b/>
          <w:bCs/>
        </w:rPr>
        <w:t>3</w:t>
      </w:r>
      <w:r w:rsidRPr="000B2CBF">
        <w:rPr>
          <w:b/>
          <w:bCs/>
        </w:rPr>
        <w:t xml:space="preserve">: </w:t>
      </w:r>
      <w:r>
        <w:rPr>
          <w:b/>
          <w:bCs/>
        </w:rPr>
        <w:t>LS to be sent to RAN3 to motivate the reason for network-controlled PCI change for mobile IAB and include proposal 2.</w:t>
      </w:r>
    </w:p>
    <w:p w14:paraId="70D321B6" w14:textId="77777777" w:rsidR="008E60AD" w:rsidRPr="008E60AD" w:rsidRDefault="008E60AD" w:rsidP="008E60AD">
      <w:pPr>
        <w:spacing w:after="120"/>
        <w:rPr>
          <w:b/>
          <w:bCs/>
        </w:rPr>
      </w:pPr>
      <w:r w:rsidRPr="008E60AD">
        <w:rPr>
          <w:b/>
          <w:bCs/>
        </w:rPr>
        <w:t>Proposal 4: RAN2 to liaise RAN1 if they see potential issues related to RACH configuration collisions for mobile IAB.</w:t>
      </w:r>
    </w:p>
    <w:p w14:paraId="6EC14903" w14:textId="77777777" w:rsidR="008E60AD" w:rsidRDefault="008E60AD" w:rsidP="008E60AD">
      <w:pPr>
        <w:spacing w:after="120"/>
      </w:pPr>
    </w:p>
    <w:p w14:paraId="56D7FCD3" w14:textId="77777777" w:rsidR="008E60AD" w:rsidRPr="00591100" w:rsidRDefault="008E60AD" w:rsidP="003A5C13">
      <w:pPr>
        <w:spacing w:after="120"/>
      </w:pPr>
    </w:p>
    <w:p w14:paraId="7F9A5B2E" w14:textId="77777777" w:rsidR="00CD4C7B" w:rsidRPr="00320A6B" w:rsidRDefault="00CD4C7B" w:rsidP="00CD4C7B">
      <w:pPr>
        <w:pStyle w:val="Heading1"/>
      </w:pPr>
      <w:r w:rsidRPr="00320A6B">
        <w:t>References</w:t>
      </w:r>
    </w:p>
    <w:p w14:paraId="18A46778" w14:textId="0B0DED92" w:rsidR="00167A87" w:rsidRDefault="00BF49E1"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 xml:space="preserve">Chairman </w:t>
      </w:r>
      <w:proofErr w:type="gramStart"/>
      <w:r w:rsidR="006A48C8">
        <w:rPr>
          <w:lang w:eastAsia="zh-CN"/>
        </w:rPr>
        <w:t>N</w:t>
      </w:r>
      <w:r>
        <w:rPr>
          <w:lang w:eastAsia="zh-CN"/>
        </w:rPr>
        <w:t>otes</w:t>
      </w:r>
      <w:r w:rsidR="00167A87" w:rsidRPr="00F04C08">
        <w:rPr>
          <w:lang w:val="en-US" w:eastAsia="zh-CN"/>
        </w:rPr>
        <w:t>;</w:t>
      </w:r>
      <w:proofErr w:type="gramEnd"/>
      <w:r w:rsidR="00167A87" w:rsidRPr="00F04C08">
        <w:rPr>
          <w:lang w:val="en-US" w:eastAsia="zh-CN"/>
        </w:rPr>
        <w:t xml:space="preserve"> TSG RAN </w:t>
      </w:r>
      <w:r>
        <w:rPr>
          <w:lang w:val="en-US" w:eastAsia="zh-CN"/>
        </w:rPr>
        <w:t xml:space="preserve">WG2 </w:t>
      </w:r>
      <w:r w:rsidR="00167A87" w:rsidRPr="00F04C08">
        <w:rPr>
          <w:lang w:val="en-US" w:eastAsia="zh-CN"/>
        </w:rPr>
        <w:t>Meeting #</w:t>
      </w:r>
      <w:r>
        <w:rPr>
          <w:lang w:val="en-US" w:eastAsia="zh-CN"/>
        </w:rPr>
        <w:t>119e</w:t>
      </w:r>
      <w:r w:rsidR="00167A87" w:rsidRPr="00F04C08">
        <w:rPr>
          <w:lang w:val="en-US" w:eastAsia="zh-CN"/>
        </w:rPr>
        <w:t xml:space="preserve">, </w:t>
      </w:r>
      <w:r>
        <w:rPr>
          <w:lang w:val="en-US" w:eastAsia="zh-CN"/>
        </w:rPr>
        <w:t>August</w:t>
      </w:r>
      <w:r w:rsidR="00167A87" w:rsidRPr="00F04C08">
        <w:rPr>
          <w:lang w:val="en-US" w:eastAsia="zh-CN"/>
        </w:rPr>
        <w:t>, 20</w:t>
      </w:r>
      <w:r w:rsidR="0036720B" w:rsidRPr="00F04C08">
        <w:rPr>
          <w:lang w:val="en-US" w:eastAsia="zh-CN"/>
        </w:rPr>
        <w:t>2</w:t>
      </w:r>
      <w:r w:rsidR="00EA0AAF">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DC153" w14:textId="77777777" w:rsidR="0045219C" w:rsidRDefault="0045219C">
      <w:r>
        <w:separator/>
      </w:r>
    </w:p>
  </w:endnote>
  <w:endnote w:type="continuationSeparator" w:id="0">
    <w:p w14:paraId="7F448332" w14:textId="77777777" w:rsidR="0045219C" w:rsidRDefault="0045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1DECA" w14:textId="77777777" w:rsidR="0045219C" w:rsidRDefault="0045219C">
      <w:r>
        <w:separator/>
      </w:r>
    </w:p>
  </w:footnote>
  <w:footnote w:type="continuationSeparator" w:id="0">
    <w:p w14:paraId="79382859" w14:textId="77777777" w:rsidR="0045219C" w:rsidRDefault="00452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1B147D"/>
    <w:multiLevelType w:val="hybridMultilevel"/>
    <w:tmpl w:val="49CA4BFC"/>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B778F"/>
    <w:multiLevelType w:val="hybridMultilevel"/>
    <w:tmpl w:val="39DC06A6"/>
    <w:lvl w:ilvl="0" w:tplc="25A6D9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3253C"/>
    <w:multiLevelType w:val="hybridMultilevel"/>
    <w:tmpl w:val="7EA84FA2"/>
    <w:lvl w:ilvl="0" w:tplc="F61EA4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8336E"/>
    <w:multiLevelType w:val="hybridMultilevel"/>
    <w:tmpl w:val="6374E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61829"/>
    <w:multiLevelType w:val="hybridMultilevel"/>
    <w:tmpl w:val="874273F4"/>
    <w:lvl w:ilvl="0" w:tplc="A0847A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4C174A"/>
    <w:multiLevelType w:val="hybridMultilevel"/>
    <w:tmpl w:val="D9285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D32941"/>
    <w:multiLevelType w:val="hybridMultilevel"/>
    <w:tmpl w:val="BA48EFDA"/>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E0B83"/>
    <w:multiLevelType w:val="hybridMultilevel"/>
    <w:tmpl w:val="D9CACE7A"/>
    <w:lvl w:ilvl="0" w:tplc="D8E669D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32EFB"/>
    <w:multiLevelType w:val="hybridMultilevel"/>
    <w:tmpl w:val="B7C4494A"/>
    <w:lvl w:ilvl="0" w:tplc="6D26C8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EF7950"/>
    <w:multiLevelType w:val="hybridMultilevel"/>
    <w:tmpl w:val="427037FE"/>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A36AD8"/>
    <w:multiLevelType w:val="hybridMultilevel"/>
    <w:tmpl w:val="713EF4DA"/>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BD7ED8"/>
    <w:multiLevelType w:val="hybridMultilevel"/>
    <w:tmpl w:val="05526BB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51BA1C9E"/>
    <w:multiLevelType w:val="hybridMultilevel"/>
    <w:tmpl w:val="990AC310"/>
    <w:lvl w:ilvl="0" w:tplc="DDC8CCD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8A3064"/>
    <w:multiLevelType w:val="hybridMultilevel"/>
    <w:tmpl w:val="2C88D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E748AB"/>
    <w:multiLevelType w:val="hybridMultilevel"/>
    <w:tmpl w:val="33862BCE"/>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F7745F"/>
    <w:multiLevelType w:val="hybridMultilevel"/>
    <w:tmpl w:val="424CD77A"/>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55617"/>
    <w:multiLevelType w:val="hybridMultilevel"/>
    <w:tmpl w:val="E3DAD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900"/>
        </w:tabs>
        <w:ind w:left="-4900" w:hanging="360"/>
      </w:pPr>
      <w:rPr>
        <w:rFonts w:ascii="Symbol" w:hAnsi="Symbol" w:hint="default"/>
        <w:b/>
        <w:i w:val="0"/>
        <w:color w:val="auto"/>
        <w:sz w:val="22"/>
      </w:rPr>
    </w:lvl>
    <w:lvl w:ilvl="1" w:tplc="04090003">
      <w:start w:val="1"/>
      <w:numFmt w:val="bullet"/>
      <w:lvlText w:val="o"/>
      <w:lvlJc w:val="left"/>
      <w:pPr>
        <w:tabs>
          <w:tab w:val="num" w:pos="-4090"/>
        </w:tabs>
        <w:ind w:left="-4090" w:hanging="360"/>
      </w:pPr>
      <w:rPr>
        <w:rFonts w:ascii="Courier New" w:hAnsi="Courier New" w:cs="Courier New" w:hint="default"/>
      </w:rPr>
    </w:lvl>
    <w:lvl w:ilvl="2" w:tplc="04090005" w:tentative="1">
      <w:start w:val="1"/>
      <w:numFmt w:val="bullet"/>
      <w:lvlText w:val=""/>
      <w:lvlJc w:val="left"/>
      <w:pPr>
        <w:tabs>
          <w:tab w:val="num" w:pos="-3370"/>
        </w:tabs>
        <w:ind w:left="-3370" w:hanging="360"/>
      </w:pPr>
      <w:rPr>
        <w:rFonts w:ascii="Wingdings" w:hAnsi="Wingdings" w:hint="default"/>
      </w:rPr>
    </w:lvl>
    <w:lvl w:ilvl="3" w:tplc="04090001" w:tentative="1">
      <w:start w:val="1"/>
      <w:numFmt w:val="bullet"/>
      <w:lvlText w:val=""/>
      <w:lvlJc w:val="left"/>
      <w:pPr>
        <w:tabs>
          <w:tab w:val="num" w:pos="-2650"/>
        </w:tabs>
        <w:ind w:left="-2650" w:hanging="360"/>
      </w:pPr>
      <w:rPr>
        <w:rFonts w:ascii="Symbol" w:hAnsi="Symbol" w:hint="default"/>
      </w:rPr>
    </w:lvl>
    <w:lvl w:ilvl="4" w:tplc="04090003" w:tentative="1">
      <w:start w:val="1"/>
      <w:numFmt w:val="bullet"/>
      <w:lvlText w:val="o"/>
      <w:lvlJc w:val="left"/>
      <w:pPr>
        <w:tabs>
          <w:tab w:val="num" w:pos="-1930"/>
        </w:tabs>
        <w:ind w:left="-1930" w:hanging="360"/>
      </w:pPr>
      <w:rPr>
        <w:rFonts w:ascii="Courier New" w:hAnsi="Courier New" w:cs="Courier New" w:hint="default"/>
      </w:rPr>
    </w:lvl>
    <w:lvl w:ilvl="5" w:tplc="04090005" w:tentative="1">
      <w:start w:val="1"/>
      <w:numFmt w:val="bullet"/>
      <w:lvlText w:val=""/>
      <w:lvlJc w:val="left"/>
      <w:pPr>
        <w:tabs>
          <w:tab w:val="num" w:pos="-1210"/>
        </w:tabs>
        <w:ind w:left="-1210" w:hanging="360"/>
      </w:pPr>
      <w:rPr>
        <w:rFonts w:ascii="Wingdings" w:hAnsi="Wingdings" w:hint="default"/>
      </w:rPr>
    </w:lvl>
    <w:lvl w:ilvl="6" w:tplc="04090001" w:tentative="1">
      <w:start w:val="1"/>
      <w:numFmt w:val="bullet"/>
      <w:lvlText w:val=""/>
      <w:lvlJc w:val="left"/>
      <w:pPr>
        <w:tabs>
          <w:tab w:val="num" w:pos="-490"/>
        </w:tabs>
        <w:ind w:left="-490" w:hanging="360"/>
      </w:pPr>
      <w:rPr>
        <w:rFonts w:ascii="Symbol" w:hAnsi="Symbol" w:hint="default"/>
      </w:rPr>
    </w:lvl>
    <w:lvl w:ilvl="7" w:tplc="04090003" w:tentative="1">
      <w:start w:val="1"/>
      <w:numFmt w:val="bullet"/>
      <w:lvlText w:val="o"/>
      <w:lvlJc w:val="left"/>
      <w:pPr>
        <w:tabs>
          <w:tab w:val="num" w:pos="230"/>
        </w:tabs>
        <w:ind w:left="230" w:hanging="360"/>
      </w:pPr>
      <w:rPr>
        <w:rFonts w:ascii="Courier New" w:hAnsi="Courier New" w:cs="Courier New" w:hint="default"/>
      </w:rPr>
    </w:lvl>
    <w:lvl w:ilvl="8" w:tplc="04090005" w:tentative="1">
      <w:start w:val="1"/>
      <w:numFmt w:val="bullet"/>
      <w:lvlText w:val=""/>
      <w:lvlJc w:val="left"/>
      <w:pPr>
        <w:tabs>
          <w:tab w:val="num" w:pos="950"/>
        </w:tabs>
        <w:ind w:left="950" w:hanging="360"/>
      </w:pPr>
      <w:rPr>
        <w:rFonts w:ascii="Wingdings" w:hAnsi="Wingdings" w:hint="default"/>
      </w:rPr>
    </w:lvl>
  </w:abstractNum>
  <w:abstractNum w:abstractNumId="39"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38"/>
  </w:num>
  <w:num w:numId="3">
    <w:abstractNumId w:val="27"/>
  </w:num>
  <w:num w:numId="4">
    <w:abstractNumId w:val="10"/>
  </w:num>
  <w:num w:numId="5">
    <w:abstractNumId w:val="0"/>
  </w:num>
  <w:num w:numId="6">
    <w:abstractNumId w:val="29"/>
  </w:num>
  <w:num w:numId="7">
    <w:abstractNumId w:val="26"/>
  </w:num>
  <w:num w:numId="8">
    <w:abstractNumId w:val="39"/>
  </w:num>
  <w:num w:numId="9">
    <w:abstractNumId w:val="18"/>
  </w:num>
  <w:num w:numId="10">
    <w:abstractNumId w:val="32"/>
  </w:num>
  <w:num w:numId="11">
    <w:abstractNumId w:val="33"/>
  </w:num>
  <w:num w:numId="12">
    <w:abstractNumId w:val="4"/>
  </w:num>
  <w:num w:numId="13">
    <w:abstractNumId w:val="23"/>
  </w:num>
  <w:num w:numId="14">
    <w:abstractNumId w:val="20"/>
  </w:num>
  <w:num w:numId="15">
    <w:abstractNumId w:val="30"/>
  </w:num>
  <w:num w:numId="16">
    <w:abstractNumId w:val="16"/>
  </w:num>
  <w:num w:numId="17">
    <w:abstractNumId w:val="22"/>
  </w:num>
  <w:num w:numId="18">
    <w:abstractNumId w:val="28"/>
  </w:num>
  <w:num w:numId="19">
    <w:abstractNumId w:val="35"/>
  </w:num>
  <w:num w:numId="20">
    <w:abstractNumId w:val="2"/>
  </w:num>
  <w:num w:numId="21">
    <w:abstractNumId w:val="3"/>
  </w:num>
  <w:num w:numId="22">
    <w:abstractNumId w:val="9"/>
  </w:num>
  <w:num w:numId="23">
    <w:abstractNumId w:val="12"/>
  </w:num>
  <w:num w:numId="24">
    <w:abstractNumId w:val="6"/>
  </w:num>
  <w:num w:numId="25">
    <w:abstractNumId w:val="15"/>
  </w:num>
  <w:num w:numId="26">
    <w:abstractNumId w:val="5"/>
  </w:num>
  <w:num w:numId="27">
    <w:abstractNumId w:val="31"/>
  </w:num>
  <w:num w:numId="28">
    <w:abstractNumId w:val="7"/>
  </w:num>
  <w:num w:numId="29">
    <w:abstractNumId w:val="8"/>
  </w:num>
  <w:num w:numId="30">
    <w:abstractNumId w:val="11"/>
  </w:num>
  <w:num w:numId="31">
    <w:abstractNumId w:val="38"/>
  </w:num>
  <w:num w:numId="32">
    <w:abstractNumId w:val="24"/>
  </w:num>
  <w:num w:numId="33">
    <w:abstractNumId w:val="14"/>
  </w:num>
  <w:num w:numId="34">
    <w:abstractNumId w:val="25"/>
  </w:num>
  <w:num w:numId="35">
    <w:abstractNumId w:val="34"/>
  </w:num>
  <w:num w:numId="36">
    <w:abstractNumId w:val="19"/>
  </w:num>
  <w:num w:numId="37">
    <w:abstractNumId w:val="13"/>
  </w:num>
  <w:num w:numId="38">
    <w:abstractNumId w:val="1"/>
  </w:num>
  <w:num w:numId="39">
    <w:abstractNumId w:val="21"/>
  </w:num>
  <w:num w:numId="40">
    <w:abstractNumId w:val="36"/>
  </w:num>
  <w:num w:numId="41">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8B0"/>
    <w:rsid w:val="000039F6"/>
    <w:rsid w:val="0000409B"/>
    <w:rsid w:val="000064F6"/>
    <w:rsid w:val="00006EBD"/>
    <w:rsid w:val="00010161"/>
    <w:rsid w:val="00012887"/>
    <w:rsid w:val="00013C23"/>
    <w:rsid w:val="000147A7"/>
    <w:rsid w:val="000152D3"/>
    <w:rsid w:val="00015DE8"/>
    <w:rsid w:val="0001657D"/>
    <w:rsid w:val="0001796A"/>
    <w:rsid w:val="00020686"/>
    <w:rsid w:val="00023FC6"/>
    <w:rsid w:val="00025CE4"/>
    <w:rsid w:val="00026FC4"/>
    <w:rsid w:val="000305FF"/>
    <w:rsid w:val="00030761"/>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6AE0"/>
    <w:rsid w:val="0004707F"/>
    <w:rsid w:val="0005117E"/>
    <w:rsid w:val="000516D8"/>
    <w:rsid w:val="0005270E"/>
    <w:rsid w:val="00056DB2"/>
    <w:rsid w:val="0006135D"/>
    <w:rsid w:val="00061505"/>
    <w:rsid w:val="00065659"/>
    <w:rsid w:val="00065D6B"/>
    <w:rsid w:val="00065DE8"/>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0CEE"/>
    <w:rsid w:val="000926D3"/>
    <w:rsid w:val="00093164"/>
    <w:rsid w:val="00096258"/>
    <w:rsid w:val="0009788E"/>
    <w:rsid w:val="000A050C"/>
    <w:rsid w:val="000A3F9B"/>
    <w:rsid w:val="000A5AD5"/>
    <w:rsid w:val="000B0C46"/>
    <w:rsid w:val="000B19D0"/>
    <w:rsid w:val="000B2CBF"/>
    <w:rsid w:val="000B4310"/>
    <w:rsid w:val="000B4D19"/>
    <w:rsid w:val="000B4F58"/>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0A2"/>
    <w:rsid w:val="000D3C9D"/>
    <w:rsid w:val="000D4A15"/>
    <w:rsid w:val="000D58AB"/>
    <w:rsid w:val="000D6B39"/>
    <w:rsid w:val="000E427B"/>
    <w:rsid w:val="000E49BE"/>
    <w:rsid w:val="000E5617"/>
    <w:rsid w:val="000E6697"/>
    <w:rsid w:val="000F03B7"/>
    <w:rsid w:val="000F2F84"/>
    <w:rsid w:val="000F30BC"/>
    <w:rsid w:val="000F342D"/>
    <w:rsid w:val="000F5CC9"/>
    <w:rsid w:val="000F5DDE"/>
    <w:rsid w:val="00101232"/>
    <w:rsid w:val="00101BA1"/>
    <w:rsid w:val="00102DAD"/>
    <w:rsid w:val="00104704"/>
    <w:rsid w:val="00106455"/>
    <w:rsid w:val="00107EE0"/>
    <w:rsid w:val="0011222A"/>
    <w:rsid w:val="001158B5"/>
    <w:rsid w:val="00116DE8"/>
    <w:rsid w:val="00120844"/>
    <w:rsid w:val="00120C85"/>
    <w:rsid w:val="00121FB7"/>
    <w:rsid w:val="001224F1"/>
    <w:rsid w:val="00122700"/>
    <w:rsid w:val="00123DB1"/>
    <w:rsid w:val="001241A8"/>
    <w:rsid w:val="00124B3D"/>
    <w:rsid w:val="00126209"/>
    <w:rsid w:val="00126D29"/>
    <w:rsid w:val="00130949"/>
    <w:rsid w:val="00131495"/>
    <w:rsid w:val="00134105"/>
    <w:rsid w:val="0013487C"/>
    <w:rsid w:val="00135C51"/>
    <w:rsid w:val="00135EC2"/>
    <w:rsid w:val="00137B44"/>
    <w:rsid w:val="00140C86"/>
    <w:rsid w:val="0014488C"/>
    <w:rsid w:val="00145075"/>
    <w:rsid w:val="0014593A"/>
    <w:rsid w:val="00146FB1"/>
    <w:rsid w:val="0014714F"/>
    <w:rsid w:val="0014751F"/>
    <w:rsid w:val="00147B8F"/>
    <w:rsid w:val="00147D5A"/>
    <w:rsid w:val="0015058A"/>
    <w:rsid w:val="00152357"/>
    <w:rsid w:val="001568A4"/>
    <w:rsid w:val="00157634"/>
    <w:rsid w:val="0015777C"/>
    <w:rsid w:val="00157B0B"/>
    <w:rsid w:val="0016098E"/>
    <w:rsid w:val="00160AF6"/>
    <w:rsid w:val="00161683"/>
    <w:rsid w:val="001619CF"/>
    <w:rsid w:val="0016224C"/>
    <w:rsid w:val="00162A76"/>
    <w:rsid w:val="00163DF7"/>
    <w:rsid w:val="00163E1F"/>
    <w:rsid w:val="00165EF0"/>
    <w:rsid w:val="00167246"/>
    <w:rsid w:val="00167A87"/>
    <w:rsid w:val="00174173"/>
    <w:rsid w:val="001741A0"/>
    <w:rsid w:val="001767D8"/>
    <w:rsid w:val="001769F9"/>
    <w:rsid w:val="00176A6D"/>
    <w:rsid w:val="0017733D"/>
    <w:rsid w:val="0017736D"/>
    <w:rsid w:val="001801CC"/>
    <w:rsid w:val="00181A75"/>
    <w:rsid w:val="001822E5"/>
    <w:rsid w:val="00182DE1"/>
    <w:rsid w:val="00183165"/>
    <w:rsid w:val="001833C6"/>
    <w:rsid w:val="00183953"/>
    <w:rsid w:val="00186DE6"/>
    <w:rsid w:val="00190C58"/>
    <w:rsid w:val="00194CC5"/>
    <w:rsid w:val="00194CD0"/>
    <w:rsid w:val="00196C23"/>
    <w:rsid w:val="00196DF8"/>
    <w:rsid w:val="0019788E"/>
    <w:rsid w:val="001A16DE"/>
    <w:rsid w:val="001A2B4C"/>
    <w:rsid w:val="001A6D8E"/>
    <w:rsid w:val="001A7342"/>
    <w:rsid w:val="001B39BC"/>
    <w:rsid w:val="001B3DF2"/>
    <w:rsid w:val="001B49C9"/>
    <w:rsid w:val="001B560A"/>
    <w:rsid w:val="001B5FCC"/>
    <w:rsid w:val="001B6282"/>
    <w:rsid w:val="001B6FF1"/>
    <w:rsid w:val="001B720E"/>
    <w:rsid w:val="001B7C2D"/>
    <w:rsid w:val="001C01CB"/>
    <w:rsid w:val="001C0CD7"/>
    <w:rsid w:val="001C28B2"/>
    <w:rsid w:val="001C2B2E"/>
    <w:rsid w:val="001C595C"/>
    <w:rsid w:val="001D379F"/>
    <w:rsid w:val="001D3A7D"/>
    <w:rsid w:val="001D4FB0"/>
    <w:rsid w:val="001D599B"/>
    <w:rsid w:val="001D6CF3"/>
    <w:rsid w:val="001E284D"/>
    <w:rsid w:val="001E53A0"/>
    <w:rsid w:val="001E5C04"/>
    <w:rsid w:val="001E70D7"/>
    <w:rsid w:val="001F168B"/>
    <w:rsid w:val="001F1CFE"/>
    <w:rsid w:val="001F2E7F"/>
    <w:rsid w:val="001F34F3"/>
    <w:rsid w:val="001F5C44"/>
    <w:rsid w:val="001F5CC4"/>
    <w:rsid w:val="001F632B"/>
    <w:rsid w:val="001F7831"/>
    <w:rsid w:val="0020111A"/>
    <w:rsid w:val="002016BF"/>
    <w:rsid w:val="00201844"/>
    <w:rsid w:val="00201B08"/>
    <w:rsid w:val="0020204C"/>
    <w:rsid w:val="002029A9"/>
    <w:rsid w:val="00203645"/>
    <w:rsid w:val="0020370C"/>
    <w:rsid w:val="00204045"/>
    <w:rsid w:val="0020425F"/>
    <w:rsid w:val="00206ED3"/>
    <w:rsid w:val="00207079"/>
    <w:rsid w:val="0021353E"/>
    <w:rsid w:val="002138DD"/>
    <w:rsid w:val="00214E95"/>
    <w:rsid w:val="00215C7D"/>
    <w:rsid w:val="00216471"/>
    <w:rsid w:val="00216FA7"/>
    <w:rsid w:val="00221DC7"/>
    <w:rsid w:val="00221E06"/>
    <w:rsid w:val="0022361C"/>
    <w:rsid w:val="00223AD3"/>
    <w:rsid w:val="00224198"/>
    <w:rsid w:val="002244A9"/>
    <w:rsid w:val="00225498"/>
    <w:rsid w:val="0022589F"/>
    <w:rsid w:val="0022606D"/>
    <w:rsid w:val="00226205"/>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614D"/>
    <w:rsid w:val="0027053F"/>
    <w:rsid w:val="00270F19"/>
    <w:rsid w:val="00271E30"/>
    <w:rsid w:val="00271E96"/>
    <w:rsid w:val="00272C79"/>
    <w:rsid w:val="002747EC"/>
    <w:rsid w:val="00274E85"/>
    <w:rsid w:val="0027537D"/>
    <w:rsid w:val="002779A1"/>
    <w:rsid w:val="002805EC"/>
    <w:rsid w:val="00281980"/>
    <w:rsid w:val="002828C0"/>
    <w:rsid w:val="0028311E"/>
    <w:rsid w:val="002855BF"/>
    <w:rsid w:val="00290FC1"/>
    <w:rsid w:val="00293031"/>
    <w:rsid w:val="002956AA"/>
    <w:rsid w:val="002966A8"/>
    <w:rsid w:val="002A00A9"/>
    <w:rsid w:val="002A09FF"/>
    <w:rsid w:val="002A4AD1"/>
    <w:rsid w:val="002A64CB"/>
    <w:rsid w:val="002A717B"/>
    <w:rsid w:val="002B17AD"/>
    <w:rsid w:val="002B4AC3"/>
    <w:rsid w:val="002B69DE"/>
    <w:rsid w:val="002B7133"/>
    <w:rsid w:val="002C3919"/>
    <w:rsid w:val="002C4A37"/>
    <w:rsid w:val="002C6EDD"/>
    <w:rsid w:val="002C708A"/>
    <w:rsid w:val="002C72D4"/>
    <w:rsid w:val="002D10D9"/>
    <w:rsid w:val="002D1D6B"/>
    <w:rsid w:val="002D2415"/>
    <w:rsid w:val="002D2AB9"/>
    <w:rsid w:val="002D4340"/>
    <w:rsid w:val="002D50EB"/>
    <w:rsid w:val="002E13C5"/>
    <w:rsid w:val="002E1D57"/>
    <w:rsid w:val="002E2CD5"/>
    <w:rsid w:val="002E386F"/>
    <w:rsid w:val="002E3CCA"/>
    <w:rsid w:val="002E4270"/>
    <w:rsid w:val="002E61FD"/>
    <w:rsid w:val="002E7B35"/>
    <w:rsid w:val="002F0D22"/>
    <w:rsid w:val="002F1ED3"/>
    <w:rsid w:val="002F267E"/>
    <w:rsid w:val="002F3C58"/>
    <w:rsid w:val="002F55AC"/>
    <w:rsid w:val="002F61D6"/>
    <w:rsid w:val="0030002C"/>
    <w:rsid w:val="003007BF"/>
    <w:rsid w:val="0030249C"/>
    <w:rsid w:val="00305ECA"/>
    <w:rsid w:val="00306271"/>
    <w:rsid w:val="00311E70"/>
    <w:rsid w:val="00312A2C"/>
    <w:rsid w:val="00313562"/>
    <w:rsid w:val="003136AE"/>
    <w:rsid w:val="00314064"/>
    <w:rsid w:val="00314429"/>
    <w:rsid w:val="0031467C"/>
    <w:rsid w:val="00316444"/>
    <w:rsid w:val="00316792"/>
    <w:rsid w:val="003169A2"/>
    <w:rsid w:val="003172DC"/>
    <w:rsid w:val="00320A6B"/>
    <w:rsid w:val="00320E41"/>
    <w:rsid w:val="00321520"/>
    <w:rsid w:val="00322D89"/>
    <w:rsid w:val="003237E8"/>
    <w:rsid w:val="00326019"/>
    <w:rsid w:val="00326069"/>
    <w:rsid w:val="00326242"/>
    <w:rsid w:val="0033176D"/>
    <w:rsid w:val="00331D99"/>
    <w:rsid w:val="00335983"/>
    <w:rsid w:val="00335990"/>
    <w:rsid w:val="003360BD"/>
    <w:rsid w:val="00336957"/>
    <w:rsid w:val="00336CEE"/>
    <w:rsid w:val="00336E72"/>
    <w:rsid w:val="00337B1A"/>
    <w:rsid w:val="003408F6"/>
    <w:rsid w:val="00340AC4"/>
    <w:rsid w:val="003414FC"/>
    <w:rsid w:val="003417CA"/>
    <w:rsid w:val="003424E1"/>
    <w:rsid w:val="00342578"/>
    <w:rsid w:val="00343C86"/>
    <w:rsid w:val="00344236"/>
    <w:rsid w:val="003442D2"/>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0364"/>
    <w:rsid w:val="00371744"/>
    <w:rsid w:val="00372D36"/>
    <w:rsid w:val="00374BAF"/>
    <w:rsid w:val="00375A2E"/>
    <w:rsid w:val="00375CCC"/>
    <w:rsid w:val="00376792"/>
    <w:rsid w:val="00380A4A"/>
    <w:rsid w:val="00381FB6"/>
    <w:rsid w:val="00382A17"/>
    <w:rsid w:val="00382AC9"/>
    <w:rsid w:val="00382B15"/>
    <w:rsid w:val="003839E9"/>
    <w:rsid w:val="00383D39"/>
    <w:rsid w:val="00384448"/>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72F"/>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462"/>
    <w:rsid w:val="003D159B"/>
    <w:rsid w:val="003D2286"/>
    <w:rsid w:val="003D2B58"/>
    <w:rsid w:val="003D2C5B"/>
    <w:rsid w:val="003D3F2A"/>
    <w:rsid w:val="003D3FB5"/>
    <w:rsid w:val="003D561D"/>
    <w:rsid w:val="003D6072"/>
    <w:rsid w:val="003D7042"/>
    <w:rsid w:val="003D762B"/>
    <w:rsid w:val="003E16BE"/>
    <w:rsid w:val="003E1F2D"/>
    <w:rsid w:val="003E4A6A"/>
    <w:rsid w:val="003E4C28"/>
    <w:rsid w:val="003E4DDA"/>
    <w:rsid w:val="003E588D"/>
    <w:rsid w:val="003E6C37"/>
    <w:rsid w:val="003E6D72"/>
    <w:rsid w:val="003F037E"/>
    <w:rsid w:val="003F1AF2"/>
    <w:rsid w:val="003F28F4"/>
    <w:rsid w:val="003F3E81"/>
    <w:rsid w:val="003F799F"/>
    <w:rsid w:val="00400113"/>
    <w:rsid w:val="00400AF9"/>
    <w:rsid w:val="00401520"/>
    <w:rsid w:val="00401855"/>
    <w:rsid w:val="00402AC2"/>
    <w:rsid w:val="004032C7"/>
    <w:rsid w:val="00405800"/>
    <w:rsid w:val="00410637"/>
    <w:rsid w:val="004119E9"/>
    <w:rsid w:val="004123E8"/>
    <w:rsid w:val="00412662"/>
    <w:rsid w:val="0041296E"/>
    <w:rsid w:val="00416B1A"/>
    <w:rsid w:val="004174BD"/>
    <w:rsid w:val="00420392"/>
    <w:rsid w:val="004203A6"/>
    <w:rsid w:val="00421A80"/>
    <w:rsid w:val="004223D5"/>
    <w:rsid w:val="0042394C"/>
    <w:rsid w:val="004269D0"/>
    <w:rsid w:val="004275A9"/>
    <w:rsid w:val="00430D92"/>
    <w:rsid w:val="004316D5"/>
    <w:rsid w:val="0043393F"/>
    <w:rsid w:val="0043492C"/>
    <w:rsid w:val="00435311"/>
    <w:rsid w:val="004378F1"/>
    <w:rsid w:val="00437E0C"/>
    <w:rsid w:val="00440AA6"/>
    <w:rsid w:val="00443341"/>
    <w:rsid w:val="00447717"/>
    <w:rsid w:val="004477E7"/>
    <w:rsid w:val="00447946"/>
    <w:rsid w:val="0045219C"/>
    <w:rsid w:val="004522CC"/>
    <w:rsid w:val="00453473"/>
    <w:rsid w:val="0045378B"/>
    <w:rsid w:val="00454656"/>
    <w:rsid w:val="00456872"/>
    <w:rsid w:val="00456B3D"/>
    <w:rsid w:val="00457661"/>
    <w:rsid w:val="00460045"/>
    <w:rsid w:val="00463569"/>
    <w:rsid w:val="00465CB0"/>
    <w:rsid w:val="00466468"/>
    <w:rsid w:val="004672EE"/>
    <w:rsid w:val="00467A94"/>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2D7D"/>
    <w:rsid w:val="004A32F3"/>
    <w:rsid w:val="004A4700"/>
    <w:rsid w:val="004A59FA"/>
    <w:rsid w:val="004A68F4"/>
    <w:rsid w:val="004B055B"/>
    <w:rsid w:val="004B20E3"/>
    <w:rsid w:val="004B39DD"/>
    <w:rsid w:val="004B41F8"/>
    <w:rsid w:val="004B5CED"/>
    <w:rsid w:val="004B6388"/>
    <w:rsid w:val="004B68D7"/>
    <w:rsid w:val="004B7120"/>
    <w:rsid w:val="004C1531"/>
    <w:rsid w:val="004C1974"/>
    <w:rsid w:val="004C229D"/>
    <w:rsid w:val="004C2E68"/>
    <w:rsid w:val="004C5A95"/>
    <w:rsid w:val="004C6BCC"/>
    <w:rsid w:val="004C7E7C"/>
    <w:rsid w:val="004D1DC6"/>
    <w:rsid w:val="004D3578"/>
    <w:rsid w:val="004D380D"/>
    <w:rsid w:val="004E0C79"/>
    <w:rsid w:val="004E0CD4"/>
    <w:rsid w:val="004E213A"/>
    <w:rsid w:val="004E2917"/>
    <w:rsid w:val="004E383E"/>
    <w:rsid w:val="004E48C4"/>
    <w:rsid w:val="004E7CCA"/>
    <w:rsid w:val="004F0DE1"/>
    <w:rsid w:val="004F10A5"/>
    <w:rsid w:val="004F156A"/>
    <w:rsid w:val="00502735"/>
    <w:rsid w:val="00502BC6"/>
    <w:rsid w:val="00503171"/>
    <w:rsid w:val="005037A0"/>
    <w:rsid w:val="00506C28"/>
    <w:rsid w:val="00511F56"/>
    <w:rsid w:val="0051299A"/>
    <w:rsid w:val="00516518"/>
    <w:rsid w:val="005169F2"/>
    <w:rsid w:val="0051770A"/>
    <w:rsid w:val="00522978"/>
    <w:rsid w:val="005234CD"/>
    <w:rsid w:val="00523FEE"/>
    <w:rsid w:val="00527DE0"/>
    <w:rsid w:val="00531145"/>
    <w:rsid w:val="00532A92"/>
    <w:rsid w:val="00534DA0"/>
    <w:rsid w:val="0053506A"/>
    <w:rsid w:val="00540007"/>
    <w:rsid w:val="00543E6C"/>
    <w:rsid w:val="00543F5F"/>
    <w:rsid w:val="00546749"/>
    <w:rsid w:val="00546C98"/>
    <w:rsid w:val="00546CB4"/>
    <w:rsid w:val="0055050A"/>
    <w:rsid w:val="005506D7"/>
    <w:rsid w:val="005513E1"/>
    <w:rsid w:val="00551ED5"/>
    <w:rsid w:val="00551ED6"/>
    <w:rsid w:val="00551F97"/>
    <w:rsid w:val="00552D11"/>
    <w:rsid w:val="00553021"/>
    <w:rsid w:val="005547F0"/>
    <w:rsid w:val="0056076A"/>
    <w:rsid w:val="00561CD2"/>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55AB"/>
    <w:rsid w:val="005862E2"/>
    <w:rsid w:val="00586897"/>
    <w:rsid w:val="00586CF6"/>
    <w:rsid w:val="00587B48"/>
    <w:rsid w:val="005900CE"/>
    <w:rsid w:val="00591100"/>
    <w:rsid w:val="005920E6"/>
    <w:rsid w:val="00593B6E"/>
    <w:rsid w:val="005A0B84"/>
    <w:rsid w:val="005A14B6"/>
    <w:rsid w:val="005A166D"/>
    <w:rsid w:val="005A6916"/>
    <w:rsid w:val="005A73AD"/>
    <w:rsid w:val="005B1DC5"/>
    <w:rsid w:val="005B249B"/>
    <w:rsid w:val="005B3C9A"/>
    <w:rsid w:val="005B4474"/>
    <w:rsid w:val="005B46AD"/>
    <w:rsid w:val="005C0207"/>
    <w:rsid w:val="005C13F7"/>
    <w:rsid w:val="005C15EC"/>
    <w:rsid w:val="005C2845"/>
    <w:rsid w:val="005C43EE"/>
    <w:rsid w:val="005C528A"/>
    <w:rsid w:val="005C7E45"/>
    <w:rsid w:val="005D3307"/>
    <w:rsid w:val="005D53AD"/>
    <w:rsid w:val="005D5447"/>
    <w:rsid w:val="005D661E"/>
    <w:rsid w:val="005E1A07"/>
    <w:rsid w:val="005E359C"/>
    <w:rsid w:val="005E5D4F"/>
    <w:rsid w:val="005E6A6C"/>
    <w:rsid w:val="005F071B"/>
    <w:rsid w:val="005F21F1"/>
    <w:rsid w:val="005F2EDF"/>
    <w:rsid w:val="005F3692"/>
    <w:rsid w:val="005F4E8E"/>
    <w:rsid w:val="005F70C3"/>
    <w:rsid w:val="005F7843"/>
    <w:rsid w:val="0060164A"/>
    <w:rsid w:val="00602641"/>
    <w:rsid w:val="00603219"/>
    <w:rsid w:val="00605118"/>
    <w:rsid w:val="006067A4"/>
    <w:rsid w:val="006112AF"/>
    <w:rsid w:val="00611566"/>
    <w:rsid w:val="00613340"/>
    <w:rsid w:val="00614757"/>
    <w:rsid w:val="00614EE6"/>
    <w:rsid w:val="00615CCD"/>
    <w:rsid w:val="00621140"/>
    <w:rsid w:val="006211DA"/>
    <w:rsid w:val="00621371"/>
    <w:rsid w:val="00623713"/>
    <w:rsid w:val="00623A25"/>
    <w:rsid w:val="00624826"/>
    <w:rsid w:val="00626696"/>
    <w:rsid w:val="0062739F"/>
    <w:rsid w:val="00631DBD"/>
    <w:rsid w:val="00632222"/>
    <w:rsid w:val="00635F47"/>
    <w:rsid w:val="00641F14"/>
    <w:rsid w:val="00642C4E"/>
    <w:rsid w:val="0064411C"/>
    <w:rsid w:val="006454FE"/>
    <w:rsid w:val="00645D44"/>
    <w:rsid w:val="006465F3"/>
    <w:rsid w:val="00646B77"/>
    <w:rsid w:val="00646D99"/>
    <w:rsid w:val="00647E8B"/>
    <w:rsid w:val="00650084"/>
    <w:rsid w:val="00650F33"/>
    <w:rsid w:val="00651125"/>
    <w:rsid w:val="00651930"/>
    <w:rsid w:val="00651A6B"/>
    <w:rsid w:val="00652646"/>
    <w:rsid w:val="00652CF2"/>
    <w:rsid w:val="006531CD"/>
    <w:rsid w:val="00656910"/>
    <w:rsid w:val="00657C9E"/>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858EE"/>
    <w:rsid w:val="006901D6"/>
    <w:rsid w:val="006926BA"/>
    <w:rsid w:val="00692FC3"/>
    <w:rsid w:val="00693373"/>
    <w:rsid w:val="00694012"/>
    <w:rsid w:val="00694D2A"/>
    <w:rsid w:val="006965CD"/>
    <w:rsid w:val="00696DF2"/>
    <w:rsid w:val="00697858"/>
    <w:rsid w:val="006A1436"/>
    <w:rsid w:val="006A180F"/>
    <w:rsid w:val="006A334F"/>
    <w:rsid w:val="006A456D"/>
    <w:rsid w:val="006A48C8"/>
    <w:rsid w:val="006A5153"/>
    <w:rsid w:val="006A54BE"/>
    <w:rsid w:val="006A6944"/>
    <w:rsid w:val="006B0254"/>
    <w:rsid w:val="006B4D84"/>
    <w:rsid w:val="006B605E"/>
    <w:rsid w:val="006B6466"/>
    <w:rsid w:val="006B7943"/>
    <w:rsid w:val="006C4CC8"/>
    <w:rsid w:val="006C6225"/>
    <w:rsid w:val="006C66D8"/>
    <w:rsid w:val="006C768F"/>
    <w:rsid w:val="006D0C80"/>
    <w:rsid w:val="006D0EC9"/>
    <w:rsid w:val="006D1E24"/>
    <w:rsid w:val="006D21DD"/>
    <w:rsid w:val="006D26EE"/>
    <w:rsid w:val="006D448F"/>
    <w:rsid w:val="006D4CB0"/>
    <w:rsid w:val="006D7D62"/>
    <w:rsid w:val="006E08C3"/>
    <w:rsid w:val="006E1417"/>
    <w:rsid w:val="006E1583"/>
    <w:rsid w:val="006E4365"/>
    <w:rsid w:val="006E5AD2"/>
    <w:rsid w:val="006E7397"/>
    <w:rsid w:val="006F0D09"/>
    <w:rsid w:val="006F0EE0"/>
    <w:rsid w:val="006F1C88"/>
    <w:rsid w:val="006F25E4"/>
    <w:rsid w:val="006F32EA"/>
    <w:rsid w:val="006F47F6"/>
    <w:rsid w:val="006F5D11"/>
    <w:rsid w:val="006F62AC"/>
    <w:rsid w:val="006F6A2C"/>
    <w:rsid w:val="006F6E95"/>
    <w:rsid w:val="006F78E6"/>
    <w:rsid w:val="00702AAA"/>
    <w:rsid w:val="00702F97"/>
    <w:rsid w:val="00704C10"/>
    <w:rsid w:val="00705D88"/>
    <w:rsid w:val="00710201"/>
    <w:rsid w:val="0071066B"/>
    <w:rsid w:val="007119C1"/>
    <w:rsid w:val="00713634"/>
    <w:rsid w:val="00715050"/>
    <w:rsid w:val="00716280"/>
    <w:rsid w:val="0071689E"/>
    <w:rsid w:val="00717A1C"/>
    <w:rsid w:val="0072014D"/>
    <w:rsid w:val="00721FCB"/>
    <w:rsid w:val="00727896"/>
    <w:rsid w:val="00730422"/>
    <w:rsid w:val="007312D2"/>
    <w:rsid w:val="007317F6"/>
    <w:rsid w:val="00734A5B"/>
    <w:rsid w:val="00734CEE"/>
    <w:rsid w:val="00735E81"/>
    <w:rsid w:val="00735F8A"/>
    <w:rsid w:val="00740DC3"/>
    <w:rsid w:val="007418B7"/>
    <w:rsid w:val="007419EF"/>
    <w:rsid w:val="00741E7A"/>
    <w:rsid w:val="00744E76"/>
    <w:rsid w:val="007460EF"/>
    <w:rsid w:val="007478F0"/>
    <w:rsid w:val="00747A03"/>
    <w:rsid w:val="00747D0A"/>
    <w:rsid w:val="007504A9"/>
    <w:rsid w:val="0075199C"/>
    <w:rsid w:val="00753591"/>
    <w:rsid w:val="007542F1"/>
    <w:rsid w:val="00754F5F"/>
    <w:rsid w:val="00757D40"/>
    <w:rsid w:val="00761B1F"/>
    <w:rsid w:val="007636D3"/>
    <w:rsid w:val="007658B7"/>
    <w:rsid w:val="007665C4"/>
    <w:rsid w:val="0076792F"/>
    <w:rsid w:val="00771416"/>
    <w:rsid w:val="00771BCD"/>
    <w:rsid w:val="00771E2F"/>
    <w:rsid w:val="00773ACB"/>
    <w:rsid w:val="00776516"/>
    <w:rsid w:val="00776C2C"/>
    <w:rsid w:val="007811A2"/>
    <w:rsid w:val="00781F0F"/>
    <w:rsid w:val="00781FA2"/>
    <w:rsid w:val="00782C71"/>
    <w:rsid w:val="00783E27"/>
    <w:rsid w:val="0078448D"/>
    <w:rsid w:val="007846F6"/>
    <w:rsid w:val="007851AB"/>
    <w:rsid w:val="00785DE8"/>
    <w:rsid w:val="00786052"/>
    <w:rsid w:val="00786A8D"/>
    <w:rsid w:val="00786DED"/>
    <w:rsid w:val="0078727C"/>
    <w:rsid w:val="00787E4E"/>
    <w:rsid w:val="0079049D"/>
    <w:rsid w:val="007914C8"/>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3413"/>
    <w:rsid w:val="007C67D2"/>
    <w:rsid w:val="007C77C4"/>
    <w:rsid w:val="007D107C"/>
    <w:rsid w:val="007D1B85"/>
    <w:rsid w:val="007D1FD5"/>
    <w:rsid w:val="007D309E"/>
    <w:rsid w:val="007D4B38"/>
    <w:rsid w:val="007D5BED"/>
    <w:rsid w:val="007D5EF6"/>
    <w:rsid w:val="007D692E"/>
    <w:rsid w:val="007D7D25"/>
    <w:rsid w:val="007E4556"/>
    <w:rsid w:val="007E457A"/>
    <w:rsid w:val="007E515A"/>
    <w:rsid w:val="007F04EE"/>
    <w:rsid w:val="007F14AD"/>
    <w:rsid w:val="007F31EB"/>
    <w:rsid w:val="007F7268"/>
    <w:rsid w:val="007F7342"/>
    <w:rsid w:val="007F7946"/>
    <w:rsid w:val="00800D57"/>
    <w:rsid w:val="008028A4"/>
    <w:rsid w:val="00802F07"/>
    <w:rsid w:val="0080333D"/>
    <w:rsid w:val="00805E0B"/>
    <w:rsid w:val="00806310"/>
    <w:rsid w:val="00812B0C"/>
    <w:rsid w:val="00813245"/>
    <w:rsid w:val="00815481"/>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01FB"/>
    <w:rsid w:val="008324A5"/>
    <w:rsid w:val="00834604"/>
    <w:rsid w:val="00834A6D"/>
    <w:rsid w:val="00845E80"/>
    <w:rsid w:val="008460EF"/>
    <w:rsid w:val="0084763A"/>
    <w:rsid w:val="00850BBB"/>
    <w:rsid w:val="00850CBF"/>
    <w:rsid w:val="00854A4F"/>
    <w:rsid w:val="00855178"/>
    <w:rsid w:val="00856127"/>
    <w:rsid w:val="0085698E"/>
    <w:rsid w:val="008571AD"/>
    <w:rsid w:val="00857756"/>
    <w:rsid w:val="00860820"/>
    <w:rsid w:val="00860BEE"/>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95302"/>
    <w:rsid w:val="008953A5"/>
    <w:rsid w:val="00896192"/>
    <w:rsid w:val="008A07BA"/>
    <w:rsid w:val="008A130F"/>
    <w:rsid w:val="008A15D5"/>
    <w:rsid w:val="008A1D28"/>
    <w:rsid w:val="008A203C"/>
    <w:rsid w:val="008A27FC"/>
    <w:rsid w:val="008A2D12"/>
    <w:rsid w:val="008A506B"/>
    <w:rsid w:val="008B192A"/>
    <w:rsid w:val="008B44F1"/>
    <w:rsid w:val="008B5306"/>
    <w:rsid w:val="008B681A"/>
    <w:rsid w:val="008C0E06"/>
    <w:rsid w:val="008C1100"/>
    <w:rsid w:val="008C1A63"/>
    <w:rsid w:val="008C20AD"/>
    <w:rsid w:val="008C20F7"/>
    <w:rsid w:val="008C35C7"/>
    <w:rsid w:val="008C3F92"/>
    <w:rsid w:val="008C42B8"/>
    <w:rsid w:val="008C7888"/>
    <w:rsid w:val="008D05CE"/>
    <w:rsid w:val="008D0839"/>
    <w:rsid w:val="008D1CD5"/>
    <w:rsid w:val="008D2258"/>
    <w:rsid w:val="008D467A"/>
    <w:rsid w:val="008E131E"/>
    <w:rsid w:val="008E22FF"/>
    <w:rsid w:val="008E345E"/>
    <w:rsid w:val="008E3B19"/>
    <w:rsid w:val="008E412B"/>
    <w:rsid w:val="008E60AD"/>
    <w:rsid w:val="008F2039"/>
    <w:rsid w:val="008F2BF7"/>
    <w:rsid w:val="008F2E9A"/>
    <w:rsid w:val="00901335"/>
    <w:rsid w:val="0090187C"/>
    <w:rsid w:val="009024E8"/>
    <w:rsid w:val="0090271F"/>
    <w:rsid w:val="00902DB9"/>
    <w:rsid w:val="00903DD4"/>
    <w:rsid w:val="0090466A"/>
    <w:rsid w:val="009062D3"/>
    <w:rsid w:val="00907DD2"/>
    <w:rsid w:val="00911A3A"/>
    <w:rsid w:val="00911DEA"/>
    <w:rsid w:val="00912CD4"/>
    <w:rsid w:val="00915711"/>
    <w:rsid w:val="0091771F"/>
    <w:rsid w:val="00917ABE"/>
    <w:rsid w:val="0092024A"/>
    <w:rsid w:val="00921F58"/>
    <w:rsid w:val="00922DC1"/>
    <w:rsid w:val="0092322B"/>
    <w:rsid w:val="00924D2C"/>
    <w:rsid w:val="0092657D"/>
    <w:rsid w:val="00931360"/>
    <w:rsid w:val="00931AF4"/>
    <w:rsid w:val="00933F83"/>
    <w:rsid w:val="00936071"/>
    <w:rsid w:val="00940212"/>
    <w:rsid w:val="0094197F"/>
    <w:rsid w:val="00942E6A"/>
    <w:rsid w:val="00942EC2"/>
    <w:rsid w:val="00943958"/>
    <w:rsid w:val="009454B8"/>
    <w:rsid w:val="00945B30"/>
    <w:rsid w:val="009466BE"/>
    <w:rsid w:val="00946A16"/>
    <w:rsid w:val="0094798C"/>
    <w:rsid w:val="00952A0E"/>
    <w:rsid w:val="0095306B"/>
    <w:rsid w:val="0095382B"/>
    <w:rsid w:val="00955470"/>
    <w:rsid w:val="009556D0"/>
    <w:rsid w:val="00956A9D"/>
    <w:rsid w:val="00957D2B"/>
    <w:rsid w:val="00957E6F"/>
    <w:rsid w:val="00961B32"/>
    <w:rsid w:val="00962174"/>
    <w:rsid w:val="0096294B"/>
    <w:rsid w:val="0096408F"/>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A002B"/>
    <w:rsid w:val="009A0AF3"/>
    <w:rsid w:val="009A1A7C"/>
    <w:rsid w:val="009A1E95"/>
    <w:rsid w:val="009A36A2"/>
    <w:rsid w:val="009A443C"/>
    <w:rsid w:val="009A50C5"/>
    <w:rsid w:val="009A7362"/>
    <w:rsid w:val="009A7F1A"/>
    <w:rsid w:val="009B07CD"/>
    <w:rsid w:val="009B113E"/>
    <w:rsid w:val="009B16DE"/>
    <w:rsid w:val="009B2074"/>
    <w:rsid w:val="009B6E5C"/>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69DE"/>
    <w:rsid w:val="009F799D"/>
    <w:rsid w:val="009F7E84"/>
    <w:rsid w:val="00A03918"/>
    <w:rsid w:val="00A03B42"/>
    <w:rsid w:val="00A05DE2"/>
    <w:rsid w:val="00A067FE"/>
    <w:rsid w:val="00A10F02"/>
    <w:rsid w:val="00A11888"/>
    <w:rsid w:val="00A14E25"/>
    <w:rsid w:val="00A15FB2"/>
    <w:rsid w:val="00A16DF1"/>
    <w:rsid w:val="00A204CA"/>
    <w:rsid w:val="00A207D2"/>
    <w:rsid w:val="00A215F6"/>
    <w:rsid w:val="00A23966"/>
    <w:rsid w:val="00A23AC0"/>
    <w:rsid w:val="00A242F5"/>
    <w:rsid w:val="00A25A22"/>
    <w:rsid w:val="00A25F51"/>
    <w:rsid w:val="00A26593"/>
    <w:rsid w:val="00A270B0"/>
    <w:rsid w:val="00A300A0"/>
    <w:rsid w:val="00A30E3E"/>
    <w:rsid w:val="00A31AB2"/>
    <w:rsid w:val="00A31D17"/>
    <w:rsid w:val="00A32493"/>
    <w:rsid w:val="00A32E13"/>
    <w:rsid w:val="00A35830"/>
    <w:rsid w:val="00A423AE"/>
    <w:rsid w:val="00A43A2E"/>
    <w:rsid w:val="00A44AE9"/>
    <w:rsid w:val="00A45665"/>
    <w:rsid w:val="00A52986"/>
    <w:rsid w:val="00A52CC6"/>
    <w:rsid w:val="00A53724"/>
    <w:rsid w:val="00A54875"/>
    <w:rsid w:val="00A55549"/>
    <w:rsid w:val="00A566A2"/>
    <w:rsid w:val="00A57AD8"/>
    <w:rsid w:val="00A62BFC"/>
    <w:rsid w:val="00A6496B"/>
    <w:rsid w:val="00A65425"/>
    <w:rsid w:val="00A65C1F"/>
    <w:rsid w:val="00A66990"/>
    <w:rsid w:val="00A718DA"/>
    <w:rsid w:val="00A7247E"/>
    <w:rsid w:val="00A743AC"/>
    <w:rsid w:val="00A74826"/>
    <w:rsid w:val="00A74C06"/>
    <w:rsid w:val="00A75305"/>
    <w:rsid w:val="00A753E1"/>
    <w:rsid w:val="00A775DD"/>
    <w:rsid w:val="00A77F59"/>
    <w:rsid w:val="00A80334"/>
    <w:rsid w:val="00A82346"/>
    <w:rsid w:val="00A825BF"/>
    <w:rsid w:val="00A845B8"/>
    <w:rsid w:val="00A85BB3"/>
    <w:rsid w:val="00A87209"/>
    <w:rsid w:val="00A903F8"/>
    <w:rsid w:val="00A954D8"/>
    <w:rsid w:val="00A9671C"/>
    <w:rsid w:val="00A9769E"/>
    <w:rsid w:val="00A97749"/>
    <w:rsid w:val="00AA1553"/>
    <w:rsid w:val="00AA39FE"/>
    <w:rsid w:val="00AA423E"/>
    <w:rsid w:val="00AA4494"/>
    <w:rsid w:val="00AA57EE"/>
    <w:rsid w:val="00AA7EC1"/>
    <w:rsid w:val="00AB0409"/>
    <w:rsid w:val="00AB0FA6"/>
    <w:rsid w:val="00AB1408"/>
    <w:rsid w:val="00AB163A"/>
    <w:rsid w:val="00AB17A0"/>
    <w:rsid w:val="00AB1A97"/>
    <w:rsid w:val="00AB27C6"/>
    <w:rsid w:val="00AB4F3D"/>
    <w:rsid w:val="00AB504B"/>
    <w:rsid w:val="00AB5A5A"/>
    <w:rsid w:val="00AB71C6"/>
    <w:rsid w:val="00AB7EA2"/>
    <w:rsid w:val="00AC0234"/>
    <w:rsid w:val="00AC1314"/>
    <w:rsid w:val="00AC1E31"/>
    <w:rsid w:val="00AC26C2"/>
    <w:rsid w:val="00AC2CF8"/>
    <w:rsid w:val="00AC3E63"/>
    <w:rsid w:val="00AC4320"/>
    <w:rsid w:val="00AC53FE"/>
    <w:rsid w:val="00AC7CA7"/>
    <w:rsid w:val="00AD0C68"/>
    <w:rsid w:val="00AD0F1D"/>
    <w:rsid w:val="00AD2619"/>
    <w:rsid w:val="00AD4D8C"/>
    <w:rsid w:val="00AD5427"/>
    <w:rsid w:val="00AD5B72"/>
    <w:rsid w:val="00AD7EB7"/>
    <w:rsid w:val="00AE06A4"/>
    <w:rsid w:val="00AE095D"/>
    <w:rsid w:val="00AE1871"/>
    <w:rsid w:val="00AE26C0"/>
    <w:rsid w:val="00AE32B8"/>
    <w:rsid w:val="00AE35AC"/>
    <w:rsid w:val="00AE4A32"/>
    <w:rsid w:val="00AE5998"/>
    <w:rsid w:val="00AE5A3F"/>
    <w:rsid w:val="00AE67B2"/>
    <w:rsid w:val="00AE7394"/>
    <w:rsid w:val="00AE7935"/>
    <w:rsid w:val="00AF1C7D"/>
    <w:rsid w:val="00AF20A6"/>
    <w:rsid w:val="00AF2778"/>
    <w:rsid w:val="00AF3563"/>
    <w:rsid w:val="00AF4C62"/>
    <w:rsid w:val="00AF5E5C"/>
    <w:rsid w:val="00AF6272"/>
    <w:rsid w:val="00B002EA"/>
    <w:rsid w:val="00B024E5"/>
    <w:rsid w:val="00B033FA"/>
    <w:rsid w:val="00B0343F"/>
    <w:rsid w:val="00B046A0"/>
    <w:rsid w:val="00B04A75"/>
    <w:rsid w:val="00B0648D"/>
    <w:rsid w:val="00B07AAA"/>
    <w:rsid w:val="00B10754"/>
    <w:rsid w:val="00B11743"/>
    <w:rsid w:val="00B1192D"/>
    <w:rsid w:val="00B11CB0"/>
    <w:rsid w:val="00B1514F"/>
    <w:rsid w:val="00B15449"/>
    <w:rsid w:val="00B154C9"/>
    <w:rsid w:val="00B15627"/>
    <w:rsid w:val="00B15ADA"/>
    <w:rsid w:val="00B1608D"/>
    <w:rsid w:val="00B1608F"/>
    <w:rsid w:val="00B2397F"/>
    <w:rsid w:val="00B23FAA"/>
    <w:rsid w:val="00B2755F"/>
    <w:rsid w:val="00B30ADA"/>
    <w:rsid w:val="00B331AE"/>
    <w:rsid w:val="00B33E45"/>
    <w:rsid w:val="00B359B7"/>
    <w:rsid w:val="00B36BDD"/>
    <w:rsid w:val="00B40C67"/>
    <w:rsid w:val="00B422C3"/>
    <w:rsid w:val="00B42667"/>
    <w:rsid w:val="00B444B8"/>
    <w:rsid w:val="00B4746E"/>
    <w:rsid w:val="00B47FD1"/>
    <w:rsid w:val="00B516BB"/>
    <w:rsid w:val="00B51B0A"/>
    <w:rsid w:val="00B5205D"/>
    <w:rsid w:val="00B52D96"/>
    <w:rsid w:val="00B53C45"/>
    <w:rsid w:val="00B54665"/>
    <w:rsid w:val="00B61417"/>
    <w:rsid w:val="00B62989"/>
    <w:rsid w:val="00B62E9A"/>
    <w:rsid w:val="00B633C3"/>
    <w:rsid w:val="00B6406E"/>
    <w:rsid w:val="00B642B6"/>
    <w:rsid w:val="00B65E42"/>
    <w:rsid w:val="00B6646D"/>
    <w:rsid w:val="00B6737A"/>
    <w:rsid w:val="00B701A0"/>
    <w:rsid w:val="00B72CC9"/>
    <w:rsid w:val="00B73D0C"/>
    <w:rsid w:val="00B747AE"/>
    <w:rsid w:val="00B74842"/>
    <w:rsid w:val="00B751DC"/>
    <w:rsid w:val="00B75EF1"/>
    <w:rsid w:val="00B770FF"/>
    <w:rsid w:val="00B8019B"/>
    <w:rsid w:val="00B82DD7"/>
    <w:rsid w:val="00B83F9A"/>
    <w:rsid w:val="00B84B18"/>
    <w:rsid w:val="00B86A6B"/>
    <w:rsid w:val="00B8722E"/>
    <w:rsid w:val="00B8739B"/>
    <w:rsid w:val="00B912B1"/>
    <w:rsid w:val="00B919F2"/>
    <w:rsid w:val="00B96CCF"/>
    <w:rsid w:val="00B97C71"/>
    <w:rsid w:val="00B97CBC"/>
    <w:rsid w:val="00BA2ABC"/>
    <w:rsid w:val="00BA3230"/>
    <w:rsid w:val="00BA37B5"/>
    <w:rsid w:val="00BA3913"/>
    <w:rsid w:val="00BA601F"/>
    <w:rsid w:val="00BA6B3D"/>
    <w:rsid w:val="00BA7FDD"/>
    <w:rsid w:val="00BB1993"/>
    <w:rsid w:val="00BB1D64"/>
    <w:rsid w:val="00BB5E22"/>
    <w:rsid w:val="00BB69C4"/>
    <w:rsid w:val="00BC02B4"/>
    <w:rsid w:val="00BC136A"/>
    <w:rsid w:val="00BC175D"/>
    <w:rsid w:val="00BC1BBC"/>
    <w:rsid w:val="00BC1C99"/>
    <w:rsid w:val="00BC2D6C"/>
    <w:rsid w:val="00BC3A5F"/>
    <w:rsid w:val="00BC41B5"/>
    <w:rsid w:val="00BC5A4D"/>
    <w:rsid w:val="00BC7783"/>
    <w:rsid w:val="00BD091C"/>
    <w:rsid w:val="00BD1631"/>
    <w:rsid w:val="00BD31D3"/>
    <w:rsid w:val="00BD55FC"/>
    <w:rsid w:val="00BD6273"/>
    <w:rsid w:val="00BD67B1"/>
    <w:rsid w:val="00BE5261"/>
    <w:rsid w:val="00BE7500"/>
    <w:rsid w:val="00BE7B3F"/>
    <w:rsid w:val="00BF2E14"/>
    <w:rsid w:val="00BF2ECB"/>
    <w:rsid w:val="00BF4416"/>
    <w:rsid w:val="00BF449E"/>
    <w:rsid w:val="00BF46D7"/>
    <w:rsid w:val="00BF49E1"/>
    <w:rsid w:val="00BF5561"/>
    <w:rsid w:val="00BF630D"/>
    <w:rsid w:val="00BF6EB6"/>
    <w:rsid w:val="00C01E8E"/>
    <w:rsid w:val="00C03D2D"/>
    <w:rsid w:val="00C042E6"/>
    <w:rsid w:val="00C07B22"/>
    <w:rsid w:val="00C07D96"/>
    <w:rsid w:val="00C10DF1"/>
    <w:rsid w:val="00C12B51"/>
    <w:rsid w:val="00C13DC1"/>
    <w:rsid w:val="00C15264"/>
    <w:rsid w:val="00C15795"/>
    <w:rsid w:val="00C16357"/>
    <w:rsid w:val="00C17978"/>
    <w:rsid w:val="00C2032B"/>
    <w:rsid w:val="00C20E9C"/>
    <w:rsid w:val="00C230AE"/>
    <w:rsid w:val="00C235C7"/>
    <w:rsid w:val="00C23FA7"/>
    <w:rsid w:val="00C24650"/>
    <w:rsid w:val="00C2597A"/>
    <w:rsid w:val="00C25AAF"/>
    <w:rsid w:val="00C27752"/>
    <w:rsid w:val="00C27B36"/>
    <w:rsid w:val="00C31C47"/>
    <w:rsid w:val="00C31F2E"/>
    <w:rsid w:val="00C32347"/>
    <w:rsid w:val="00C33079"/>
    <w:rsid w:val="00C330DF"/>
    <w:rsid w:val="00C333E9"/>
    <w:rsid w:val="00C34F52"/>
    <w:rsid w:val="00C37FDE"/>
    <w:rsid w:val="00C41500"/>
    <w:rsid w:val="00C42782"/>
    <w:rsid w:val="00C43926"/>
    <w:rsid w:val="00C4443E"/>
    <w:rsid w:val="00C46BDB"/>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6B15"/>
    <w:rsid w:val="00C97DD9"/>
    <w:rsid w:val="00CA08C8"/>
    <w:rsid w:val="00CA0C6F"/>
    <w:rsid w:val="00CA1196"/>
    <w:rsid w:val="00CA160C"/>
    <w:rsid w:val="00CA3D0C"/>
    <w:rsid w:val="00CA4CC4"/>
    <w:rsid w:val="00CA55A2"/>
    <w:rsid w:val="00CA6073"/>
    <w:rsid w:val="00CA654B"/>
    <w:rsid w:val="00CA7FB5"/>
    <w:rsid w:val="00CB1831"/>
    <w:rsid w:val="00CB192D"/>
    <w:rsid w:val="00CB20EE"/>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133BA"/>
    <w:rsid w:val="00D14063"/>
    <w:rsid w:val="00D16129"/>
    <w:rsid w:val="00D177F8"/>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476"/>
    <w:rsid w:val="00D50FAB"/>
    <w:rsid w:val="00D53F4D"/>
    <w:rsid w:val="00D548D7"/>
    <w:rsid w:val="00D54EF9"/>
    <w:rsid w:val="00D57B51"/>
    <w:rsid w:val="00D6117F"/>
    <w:rsid w:val="00D62E82"/>
    <w:rsid w:val="00D63BB4"/>
    <w:rsid w:val="00D641AE"/>
    <w:rsid w:val="00D646DB"/>
    <w:rsid w:val="00D64B2D"/>
    <w:rsid w:val="00D66F34"/>
    <w:rsid w:val="00D679C7"/>
    <w:rsid w:val="00D738D6"/>
    <w:rsid w:val="00D742F4"/>
    <w:rsid w:val="00D75638"/>
    <w:rsid w:val="00D80795"/>
    <w:rsid w:val="00D80F5E"/>
    <w:rsid w:val="00D82DC3"/>
    <w:rsid w:val="00D8694E"/>
    <w:rsid w:val="00D870B2"/>
    <w:rsid w:val="00D87A08"/>
    <w:rsid w:val="00D87E00"/>
    <w:rsid w:val="00D90718"/>
    <w:rsid w:val="00D9134D"/>
    <w:rsid w:val="00D91BCA"/>
    <w:rsid w:val="00D92B08"/>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5312"/>
    <w:rsid w:val="00DD70FA"/>
    <w:rsid w:val="00DD722F"/>
    <w:rsid w:val="00DE0D91"/>
    <w:rsid w:val="00DE17D1"/>
    <w:rsid w:val="00DE44B0"/>
    <w:rsid w:val="00DE4A98"/>
    <w:rsid w:val="00DE56A5"/>
    <w:rsid w:val="00DF08B7"/>
    <w:rsid w:val="00DF2B7B"/>
    <w:rsid w:val="00DF5B0C"/>
    <w:rsid w:val="00E02F6A"/>
    <w:rsid w:val="00E03198"/>
    <w:rsid w:val="00E03A46"/>
    <w:rsid w:val="00E03F18"/>
    <w:rsid w:val="00E0415B"/>
    <w:rsid w:val="00E06135"/>
    <w:rsid w:val="00E062E3"/>
    <w:rsid w:val="00E074C7"/>
    <w:rsid w:val="00E113C0"/>
    <w:rsid w:val="00E23537"/>
    <w:rsid w:val="00E250F4"/>
    <w:rsid w:val="00E25BEF"/>
    <w:rsid w:val="00E25C19"/>
    <w:rsid w:val="00E30372"/>
    <w:rsid w:val="00E307FC"/>
    <w:rsid w:val="00E313B9"/>
    <w:rsid w:val="00E31932"/>
    <w:rsid w:val="00E31E89"/>
    <w:rsid w:val="00E33147"/>
    <w:rsid w:val="00E34168"/>
    <w:rsid w:val="00E35793"/>
    <w:rsid w:val="00E36407"/>
    <w:rsid w:val="00E4026E"/>
    <w:rsid w:val="00E40E41"/>
    <w:rsid w:val="00E42D93"/>
    <w:rsid w:val="00E43DB9"/>
    <w:rsid w:val="00E448A1"/>
    <w:rsid w:val="00E4673B"/>
    <w:rsid w:val="00E50281"/>
    <w:rsid w:val="00E50F6F"/>
    <w:rsid w:val="00E51DC4"/>
    <w:rsid w:val="00E539D7"/>
    <w:rsid w:val="00E539FD"/>
    <w:rsid w:val="00E54361"/>
    <w:rsid w:val="00E546AB"/>
    <w:rsid w:val="00E56EEF"/>
    <w:rsid w:val="00E60CAF"/>
    <w:rsid w:val="00E61B39"/>
    <w:rsid w:val="00E62835"/>
    <w:rsid w:val="00E64523"/>
    <w:rsid w:val="00E6528D"/>
    <w:rsid w:val="00E6683D"/>
    <w:rsid w:val="00E7041F"/>
    <w:rsid w:val="00E70A06"/>
    <w:rsid w:val="00E730C7"/>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70A0"/>
    <w:rsid w:val="00E91487"/>
    <w:rsid w:val="00E91DDC"/>
    <w:rsid w:val="00E925C9"/>
    <w:rsid w:val="00E92B2F"/>
    <w:rsid w:val="00E9444B"/>
    <w:rsid w:val="00E94C85"/>
    <w:rsid w:val="00EA00A8"/>
    <w:rsid w:val="00EA0AAF"/>
    <w:rsid w:val="00EA1DC3"/>
    <w:rsid w:val="00EA1ED6"/>
    <w:rsid w:val="00EA6CB4"/>
    <w:rsid w:val="00EB2AF5"/>
    <w:rsid w:val="00EB4566"/>
    <w:rsid w:val="00EB4E5D"/>
    <w:rsid w:val="00EB564C"/>
    <w:rsid w:val="00EB7699"/>
    <w:rsid w:val="00EC0A52"/>
    <w:rsid w:val="00EC39EB"/>
    <w:rsid w:val="00EC464F"/>
    <w:rsid w:val="00EC4A25"/>
    <w:rsid w:val="00EC5873"/>
    <w:rsid w:val="00EC5DC4"/>
    <w:rsid w:val="00EC6834"/>
    <w:rsid w:val="00EC6A06"/>
    <w:rsid w:val="00EC717A"/>
    <w:rsid w:val="00ED07E4"/>
    <w:rsid w:val="00ED09BF"/>
    <w:rsid w:val="00ED1D93"/>
    <w:rsid w:val="00ED20B1"/>
    <w:rsid w:val="00ED43A5"/>
    <w:rsid w:val="00EE1512"/>
    <w:rsid w:val="00EE217F"/>
    <w:rsid w:val="00EE4120"/>
    <w:rsid w:val="00EE44AD"/>
    <w:rsid w:val="00EE7D61"/>
    <w:rsid w:val="00EF1E0A"/>
    <w:rsid w:val="00EF267F"/>
    <w:rsid w:val="00EF2758"/>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10A"/>
    <w:rsid w:val="00F22362"/>
    <w:rsid w:val="00F24379"/>
    <w:rsid w:val="00F2595D"/>
    <w:rsid w:val="00F2754C"/>
    <w:rsid w:val="00F31951"/>
    <w:rsid w:val="00F31CC8"/>
    <w:rsid w:val="00F32173"/>
    <w:rsid w:val="00F3250E"/>
    <w:rsid w:val="00F326D6"/>
    <w:rsid w:val="00F32EE5"/>
    <w:rsid w:val="00F37743"/>
    <w:rsid w:val="00F40310"/>
    <w:rsid w:val="00F42B86"/>
    <w:rsid w:val="00F44FCE"/>
    <w:rsid w:val="00F47078"/>
    <w:rsid w:val="00F4731F"/>
    <w:rsid w:val="00F52DBE"/>
    <w:rsid w:val="00F53AAD"/>
    <w:rsid w:val="00F53C8B"/>
    <w:rsid w:val="00F5490A"/>
    <w:rsid w:val="00F54A3D"/>
    <w:rsid w:val="00F54F7D"/>
    <w:rsid w:val="00F57BF9"/>
    <w:rsid w:val="00F62456"/>
    <w:rsid w:val="00F653B8"/>
    <w:rsid w:val="00F66E5B"/>
    <w:rsid w:val="00F705E6"/>
    <w:rsid w:val="00F71B89"/>
    <w:rsid w:val="00F7353C"/>
    <w:rsid w:val="00F74FB5"/>
    <w:rsid w:val="00F75B5F"/>
    <w:rsid w:val="00F76050"/>
    <w:rsid w:val="00F76F8F"/>
    <w:rsid w:val="00F777E4"/>
    <w:rsid w:val="00F80C4B"/>
    <w:rsid w:val="00F80F72"/>
    <w:rsid w:val="00F81496"/>
    <w:rsid w:val="00F8151C"/>
    <w:rsid w:val="00F83135"/>
    <w:rsid w:val="00F84AD1"/>
    <w:rsid w:val="00F8529B"/>
    <w:rsid w:val="00F8570F"/>
    <w:rsid w:val="00F8639A"/>
    <w:rsid w:val="00F941A4"/>
    <w:rsid w:val="00F96CF4"/>
    <w:rsid w:val="00F971CB"/>
    <w:rsid w:val="00F97D6E"/>
    <w:rsid w:val="00FA0274"/>
    <w:rsid w:val="00FA0D44"/>
    <w:rsid w:val="00FA1266"/>
    <w:rsid w:val="00FA1C5C"/>
    <w:rsid w:val="00FA22EE"/>
    <w:rsid w:val="00FA2EA8"/>
    <w:rsid w:val="00FA4BA7"/>
    <w:rsid w:val="00FA6B50"/>
    <w:rsid w:val="00FA7156"/>
    <w:rsid w:val="00FA760F"/>
    <w:rsid w:val="00FA7A0F"/>
    <w:rsid w:val="00FB0844"/>
    <w:rsid w:val="00FB11CA"/>
    <w:rsid w:val="00FB16A0"/>
    <w:rsid w:val="00FB1ACE"/>
    <w:rsid w:val="00FB1FDF"/>
    <w:rsid w:val="00FB4507"/>
    <w:rsid w:val="00FB46CA"/>
    <w:rsid w:val="00FB5C29"/>
    <w:rsid w:val="00FB69F2"/>
    <w:rsid w:val="00FC0B77"/>
    <w:rsid w:val="00FC1192"/>
    <w:rsid w:val="00FC40D3"/>
    <w:rsid w:val="00FC5133"/>
    <w:rsid w:val="00FC63B6"/>
    <w:rsid w:val="00FC77D8"/>
    <w:rsid w:val="00FD03E5"/>
    <w:rsid w:val="00FD1FA7"/>
    <w:rsid w:val="00FD2CBF"/>
    <w:rsid w:val="00FD4EDD"/>
    <w:rsid w:val="00FD55F1"/>
    <w:rsid w:val="00FE0DB2"/>
    <w:rsid w:val="00FE55FB"/>
    <w:rsid w:val="00FE5909"/>
    <w:rsid w:val="00FF05DE"/>
    <w:rsid w:val="00FF0BC3"/>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2</cp:revision>
  <dcterms:created xsi:type="dcterms:W3CDTF">2022-09-29T14:29:00Z</dcterms:created>
  <dcterms:modified xsi:type="dcterms:W3CDTF">2022-09-29T14:29:00Z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